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44B" w:rsidRDefault="00AC698C">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snapToGrid w:val="0"/>
          <w:kern w:val="0"/>
          <w:sz w:val="24"/>
        </w:rPr>
        <w:t>3GPP TSG-RAN WG2 Meeting#</w:t>
      </w:r>
      <w:r>
        <w:rPr>
          <w:rFonts w:ascii="Arial" w:hAnsi="Arial" w:cs="Arial"/>
          <w:b/>
          <w:bCs/>
          <w:snapToGrid w:val="0"/>
          <w:kern w:val="0"/>
          <w:sz w:val="24"/>
          <w:lang w:val="en-GB"/>
        </w:rPr>
        <w:t>10</w:t>
      </w:r>
      <w:r w:rsidR="0017511C">
        <w:rPr>
          <w:rFonts w:ascii="Arial" w:hAnsi="Arial" w:cs="Arial"/>
          <w:b/>
          <w:bCs/>
          <w:snapToGrid w:val="0"/>
          <w:kern w:val="0"/>
          <w:sz w:val="24"/>
        </w:rPr>
        <w:t>6</w:t>
      </w:r>
      <w:r w:rsidR="0017511C">
        <w:rPr>
          <w:rFonts w:ascii="Arial" w:hAnsi="Arial" w:cs="Arial"/>
          <w:b/>
          <w:bCs/>
          <w:snapToGrid w:val="0"/>
          <w:kern w:val="0"/>
          <w:sz w:val="24"/>
        </w:rPr>
        <w:tab/>
      </w:r>
      <w:r w:rsidR="0017511C">
        <w:rPr>
          <w:rFonts w:ascii="Arial" w:hAnsi="Arial" w:cs="Arial"/>
          <w:b/>
          <w:bCs/>
          <w:snapToGrid w:val="0"/>
          <w:kern w:val="0"/>
          <w:sz w:val="24"/>
        </w:rPr>
        <w:tab/>
      </w:r>
      <w:r w:rsidR="0017511C">
        <w:rPr>
          <w:rFonts w:ascii="Arial" w:hAnsi="Arial" w:cs="Arial"/>
          <w:b/>
          <w:bCs/>
          <w:snapToGrid w:val="0"/>
          <w:kern w:val="0"/>
          <w:sz w:val="24"/>
        </w:rPr>
        <w:tab/>
      </w:r>
      <w:r w:rsidR="0017511C">
        <w:rPr>
          <w:rFonts w:ascii="Arial" w:hAnsi="Arial" w:cs="Arial"/>
          <w:b/>
          <w:bCs/>
          <w:snapToGrid w:val="0"/>
          <w:kern w:val="0"/>
          <w:sz w:val="24"/>
        </w:rPr>
        <w:tab/>
      </w:r>
      <w:r w:rsidR="0017511C">
        <w:rPr>
          <w:rFonts w:ascii="Arial" w:hAnsi="Arial" w:cs="Arial"/>
          <w:b/>
          <w:bCs/>
          <w:snapToGrid w:val="0"/>
          <w:kern w:val="0"/>
          <w:sz w:val="24"/>
        </w:rPr>
        <w:tab/>
      </w:r>
      <w:r w:rsidR="0017511C">
        <w:rPr>
          <w:rFonts w:ascii="Arial" w:hAnsi="Arial" w:cs="Arial"/>
          <w:b/>
          <w:bCs/>
          <w:snapToGrid w:val="0"/>
          <w:kern w:val="0"/>
          <w:sz w:val="24"/>
        </w:rPr>
        <w:tab/>
      </w:r>
      <w:r w:rsidR="0017511C">
        <w:rPr>
          <w:rFonts w:ascii="Arial" w:hAnsi="Arial" w:cs="Arial"/>
          <w:b/>
          <w:bCs/>
          <w:snapToGrid w:val="0"/>
          <w:kern w:val="0"/>
          <w:sz w:val="24"/>
        </w:rPr>
        <w:tab/>
      </w:r>
      <w:r w:rsidR="0017511C">
        <w:rPr>
          <w:rFonts w:ascii="Arial" w:hAnsi="Arial" w:cs="Arial"/>
          <w:b/>
          <w:bCs/>
          <w:snapToGrid w:val="0"/>
          <w:kern w:val="0"/>
          <w:sz w:val="24"/>
        </w:rPr>
        <w:tab/>
      </w:r>
      <w:r w:rsidR="0017511C">
        <w:rPr>
          <w:rFonts w:ascii="Arial" w:hAnsi="Arial" w:cs="Arial"/>
          <w:b/>
          <w:bCs/>
          <w:snapToGrid w:val="0"/>
          <w:kern w:val="0"/>
          <w:sz w:val="24"/>
        </w:rPr>
        <w:tab/>
      </w:r>
      <w:r w:rsidR="0017511C">
        <w:rPr>
          <w:rFonts w:ascii="Arial" w:hAnsi="Arial" w:cs="Arial"/>
          <w:b/>
          <w:bCs/>
          <w:snapToGrid w:val="0"/>
          <w:kern w:val="0"/>
          <w:sz w:val="24"/>
        </w:rPr>
        <w:tab/>
      </w:r>
      <w:r w:rsidR="0017511C">
        <w:rPr>
          <w:rFonts w:ascii="Arial" w:hAnsi="Arial" w:cs="Arial"/>
          <w:b/>
          <w:bCs/>
          <w:snapToGrid w:val="0"/>
          <w:kern w:val="0"/>
          <w:sz w:val="24"/>
        </w:rPr>
        <w:tab/>
        <w:t xml:space="preserve"> </w:t>
      </w:r>
      <w:r>
        <w:rPr>
          <w:rFonts w:ascii="Arial" w:hAnsi="Arial" w:cs="Arial"/>
          <w:b/>
          <w:bCs/>
          <w:snapToGrid w:val="0"/>
          <w:kern w:val="0"/>
          <w:sz w:val="24"/>
        </w:rPr>
        <w:t>R2-19</w:t>
      </w:r>
      <w:r w:rsidR="0017511C">
        <w:rPr>
          <w:rFonts w:ascii="Arial" w:hAnsi="Arial" w:cs="Arial"/>
          <w:b/>
          <w:bCs/>
          <w:snapToGrid w:val="0"/>
          <w:kern w:val="0"/>
          <w:sz w:val="24"/>
        </w:rPr>
        <w:t>07095</w:t>
      </w:r>
    </w:p>
    <w:p w:rsidR="00AE244B" w:rsidRDefault="00AC698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lang w:val="en-GB"/>
        </w:rPr>
        <w:t>Reno, USA,</w:t>
      </w:r>
      <w:r w:rsidR="0017511C">
        <w:rPr>
          <w:rFonts w:ascii="Arial" w:hAnsi="Arial" w:cs="Arial"/>
          <w:b/>
          <w:bCs/>
          <w:snapToGrid w:val="0"/>
          <w:kern w:val="0"/>
          <w:sz w:val="24"/>
          <w:lang w:val="en-GB"/>
        </w:rPr>
        <w:t xml:space="preserve"> </w:t>
      </w:r>
      <w:r>
        <w:rPr>
          <w:rFonts w:ascii="Arial" w:hAnsi="Arial" w:cs="Arial"/>
          <w:b/>
          <w:bCs/>
          <w:snapToGrid w:val="0"/>
          <w:kern w:val="0"/>
          <w:sz w:val="24"/>
          <w:lang w:val="en-GB"/>
        </w:rPr>
        <w:t>13th - 17th May 20</w:t>
      </w:r>
      <w:bookmarkStart w:id="0" w:name="_GoBack"/>
      <w:bookmarkEnd w:id="0"/>
      <w:r w:rsidR="0017511C">
        <w:rPr>
          <w:rFonts w:ascii="Arial" w:hAnsi="Arial" w:cs="Arial"/>
          <w:b/>
          <w:bCs/>
          <w:snapToGrid w:val="0"/>
          <w:kern w:val="0"/>
          <w:sz w:val="24"/>
          <w:lang w:val="en-GB"/>
        </w:rPr>
        <w:t>19</w:t>
      </w:r>
      <w:r w:rsidR="0017511C">
        <w:rPr>
          <w:rFonts w:ascii="Arial" w:hAnsi="Arial" w:cs="Arial"/>
          <w:b/>
          <w:bCs/>
          <w:snapToGrid w:val="0"/>
          <w:kern w:val="0"/>
          <w:sz w:val="24"/>
          <w:lang w:val="en-GB"/>
        </w:rPr>
        <w:tab/>
      </w:r>
      <w:r w:rsidR="0017511C">
        <w:rPr>
          <w:rFonts w:ascii="Arial" w:hAnsi="Arial" w:cs="Arial"/>
          <w:b/>
          <w:bCs/>
          <w:snapToGrid w:val="0"/>
          <w:kern w:val="0"/>
          <w:sz w:val="24"/>
          <w:lang w:val="en-GB"/>
        </w:rPr>
        <w:tab/>
      </w:r>
      <w:r w:rsidR="0017511C">
        <w:rPr>
          <w:rFonts w:ascii="Arial" w:hAnsi="Arial" w:cs="Arial"/>
          <w:b/>
          <w:bCs/>
          <w:snapToGrid w:val="0"/>
          <w:kern w:val="0"/>
          <w:sz w:val="24"/>
          <w:lang w:val="en-GB"/>
        </w:rPr>
        <w:tab/>
      </w:r>
      <w:r w:rsidR="0017511C">
        <w:rPr>
          <w:rFonts w:ascii="Arial" w:hAnsi="Arial" w:cs="Arial"/>
          <w:b/>
          <w:bCs/>
          <w:snapToGrid w:val="0"/>
          <w:kern w:val="0"/>
          <w:sz w:val="24"/>
          <w:lang w:val="en-GB"/>
        </w:rPr>
        <w:tab/>
      </w:r>
      <w:r w:rsidR="0017511C">
        <w:rPr>
          <w:rFonts w:ascii="Arial" w:hAnsi="Arial" w:cs="Arial"/>
          <w:b/>
          <w:bCs/>
          <w:snapToGrid w:val="0"/>
          <w:kern w:val="0"/>
          <w:sz w:val="24"/>
          <w:lang w:val="en-GB"/>
        </w:rPr>
        <w:tab/>
      </w:r>
      <w:r w:rsidR="0017511C">
        <w:rPr>
          <w:rFonts w:ascii="Arial" w:hAnsi="Arial" w:cs="Arial"/>
          <w:b/>
          <w:bCs/>
          <w:snapToGrid w:val="0"/>
          <w:kern w:val="0"/>
          <w:sz w:val="24"/>
          <w:lang w:val="en-GB"/>
        </w:rPr>
        <w:tab/>
      </w:r>
      <w:r w:rsidR="0017511C">
        <w:rPr>
          <w:rFonts w:ascii="Arial" w:hAnsi="Arial" w:cs="Arial"/>
          <w:b/>
          <w:bCs/>
          <w:snapToGrid w:val="0"/>
          <w:kern w:val="0"/>
          <w:sz w:val="24"/>
          <w:lang w:val="en-GB"/>
        </w:rPr>
        <w:tab/>
      </w:r>
      <w:r w:rsidR="0017511C">
        <w:rPr>
          <w:rFonts w:ascii="Arial" w:hAnsi="Arial" w:cs="Arial"/>
          <w:b/>
          <w:bCs/>
          <w:snapToGrid w:val="0"/>
          <w:kern w:val="0"/>
          <w:sz w:val="24"/>
          <w:lang w:val="en-GB"/>
        </w:rPr>
        <w:tab/>
      </w:r>
      <w:r w:rsidR="0017511C">
        <w:rPr>
          <w:rFonts w:ascii="Arial" w:hAnsi="Arial" w:cs="Arial"/>
          <w:b/>
          <w:bCs/>
          <w:snapToGrid w:val="0"/>
          <w:kern w:val="0"/>
          <w:sz w:val="24"/>
          <w:lang w:val="en-GB"/>
        </w:rPr>
        <w:tab/>
      </w:r>
      <w:r w:rsidRPr="0017511C">
        <w:rPr>
          <w:rFonts w:ascii="Arial" w:hAnsi="Arial" w:cs="Arial"/>
          <w:b/>
          <w:bCs/>
          <w:i/>
          <w:snapToGrid w:val="0"/>
          <w:kern w:val="0"/>
          <w:sz w:val="24"/>
        </w:rPr>
        <w:t>Revision of R2-1904248</w:t>
      </w:r>
    </w:p>
    <w:p w:rsidR="00AE244B" w:rsidRDefault="00AE244B">
      <w:pPr>
        <w:overflowPunct w:val="0"/>
        <w:autoSpaceDE w:val="0"/>
        <w:autoSpaceDN w:val="0"/>
        <w:adjustRightInd w:val="0"/>
        <w:snapToGrid w:val="0"/>
        <w:jc w:val="left"/>
        <w:textAlignment w:val="baseline"/>
        <w:rPr>
          <w:rFonts w:ascii="Arial" w:hAnsi="Arial" w:cs="Arial"/>
          <w:b/>
          <w:bCs/>
          <w:kern w:val="0"/>
          <w:sz w:val="28"/>
          <w:szCs w:val="28"/>
        </w:rPr>
      </w:pPr>
    </w:p>
    <w:p w:rsidR="00AE244B" w:rsidRDefault="00AC698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AE244B" w:rsidRDefault="00AC698C">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Further consideration on early measurement reporting</w:t>
      </w:r>
    </w:p>
    <w:p w:rsidR="00AE244B" w:rsidRDefault="00AC698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1" w:name="Source"/>
      <w:bookmarkEnd w:id="1"/>
      <w:r>
        <w:rPr>
          <w:rFonts w:ascii="Arial" w:hAnsi="Arial" w:cs="Arial"/>
          <w:b/>
          <w:bCs/>
          <w:snapToGrid w:val="0"/>
          <w:kern w:val="0"/>
          <w:sz w:val="24"/>
        </w:rPr>
        <w:tab/>
      </w:r>
      <w:r>
        <w:rPr>
          <w:rFonts w:ascii="Arial" w:hAnsi="Arial" w:cs="Arial"/>
          <w:b/>
          <w:bCs/>
          <w:snapToGrid w:val="0"/>
          <w:kern w:val="0"/>
          <w:sz w:val="24"/>
        </w:rPr>
        <w:tab/>
        <w:t>11.10.3</w:t>
      </w:r>
    </w:p>
    <w:p w:rsidR="00AE244B" w:rsidRDefault="00AC698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AE244B" w:rsidRDefault="00AC698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Introduction</w:t>
      </w:r>
    </w:p>
    <w:p w:rsidR="00AE244B" w:rsidRDefault="00AC698C">
      <w:pPr>
        <w:rPr>
          <w:szCs w:val="21"/>
        </w:rPr>
      </w:pPr>
      <w:r>
        <w:rPr>
          <w:szCs w:val="21"/>
        </w:rPr>
        <w:t>In this contribution, further consideration</w:t>
      </w:r>
      <w:r w:rsidR="0017511C">
        <w:rPr>
          <w:szCs w:val="21"/>
        </w:rPr>
        <w:t>s</w:t>
      </w:r>
      <w:r>
        <w:rPr>
          <w:szCs w:val="21"/>
        </w:rPr>
        <w:t xml:space="preserve"> are provided based on agreements reached in last RAN2 meeting.</w:t>
      </w:r>
    </w:p>
    <w:p w:rsidR="00AE244B" w:rsidRDefault="00AC698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Discussion</w:t>
      </w:r>
    </w:p>
    <w:p w:rsidR="00AE244B" w:rsidRDefault="00AC698C">
      <w:pPr>
        <w:ind w:left="1245" w:hanging="1245"/>
        <w:rPr>
          <w:szCs w:val="21"/>
        </w:rPr>
      </w:pPr>
      <w:r>
        <w:rPr>
          <w:szCs w:val="21"/>
        </w:rPr>
        <w:t>According to last RAN2 meeting agreements</w:t>
      </w:r>
      <w:r w:rsidR="0017511C">
        <w:rPr>
          <w:szCs w:val="21"/>
        </w:rPr>
        <w:t xml:space="preserve"> </w:t>
      </w:r>
      <w:r>
        <w:rPr>
          <w:szCs w:val="21"/>
        </w:rPr>
        <w:t xml:space="preserve">[1], it is FFS whether validity area is </w:t>
      </w:r>
      <w:r>
        <w:rPr>
          <w:szCs w:val="21"/>
        </w:rPr>
        <w:t>needed:</w:t>
      </w:r>
    </w:p>
    <w:tbl>
      <w:tblPr>
        <w:tblStyle w:val="TableGrid"/>
        <w:tblW w:w="9681" w:type="dxa"/>
        <w:tblInd w:w="615" w:type="dxa"/>
        <w:tblLayout w:type="fixed"/>
        <w:tblLook w:val="04A0"/>
      </w:tblPr>
      <w:tblGrid>
        <w:gridCol w:w="9681"/>
      </w:tblGrid>
      <w:tr w:rsidR="00AE244B">
        <w:tc>
          <w:tcPr>
            <w:tcW w:w="9681" w:type="dxa"/>
          </w:tcPr>
          <w:p w:rsidR="00AE244B" w:rsidRDefault="00AC698C">
            <w:pPr>
              <w:ind w:leftChars="200" w:left="420"/>
              <w:rPr>
                <w:lang w:eastAsia="en-US"/>
              </w:rPr>
            </w:pPr>
            <w:r>
              <w:rPr>
                <w:lang w:eastAsia="en-US"/>
              </w:rPr>
              <w:t>4:</w:t>
            </w:r>
            <w:r>
              <w:rPr>
                <w:lang w:eastAsia="en-US"/>
              </w:rPr>
              <w:tab/>
              <w:t xml:space="preserve">For both IDLE and INACTIVE early measurements, the following IEs can be optionally configured per NR frequency in both NR </w:t>
            </w:r>
            <w:proofErr w:type="spellStart"/>
            <w:r>
              <w:rPr>
                <w:lang w:eastAsia="en-US"/>
              </w:rPr>
              <w:t>RRCRelease</w:t>
            </w:r>
            <w:proofErr w:type="spellEnd"/>
            <w:r>
              <w:rPr>
                <w:lang w:eastAsia="en-US"/>
              </w:rPr>
              <w:t xml:space="preserve"> message and NR SIB:</w:t>
            </w:r>
          </w:p>
          <w:p w:rsidR="00AE244B" w:rsidRDefault="00AC698C">
            <w:pPr>
              <w:ind w:leftChars="200" w:left="420"/>
              <w:rPr>
                <w:lang w:eastAsia="en-US"/>
              </w:rPr>
            </w:pPr>
            <w:r>
              <w:rPr>
                <w:lang w:eastAsia="en-US"/>
              </w:rPr>
              <w:t>-</w:t>
            </w:r>
            <w:r>
              <w:rPr>
                <w:lang w:eastAsia="en-US"/>
              </w:rPr>
              <w:tab/>
              <w:t xml:space="preserve">A list of frequencies and optionally cells (similar to </w:t>
            </w:r>
            <w:proofErr w:type="spellStart"/>
            <w:r>
              <w:rPr>
                <w:lang w:eastAsia="en-US"/>
              </w:rPr>
              <w:t>measCellList</w:t>
            </w:r>
            <w:proofErr w:type="spellEnd"/>
            <w:r>
              <w:rPr>
                <w:lang w:eastAsia="en-US"/>
              </w:rPr>
              <w:t xml:space="preserve"> in LTE </w:t>
            </w:r>
            <w:proofErr w:type="spellStart"/>
            <w:r>
              <w:rPr>
                <w:lang w:eastAsia="en-US"/>
              </w:rPr>
              <w:t>euCA</w:t>
            </w:r>
            <w:proofErr w:type="spellEnd"/>
            <w:r>
              <w:rPr>
                <w:lang w:eastAsia="en-US"/>
              </w:rPr>
              <w:t>) the UE is</w:t>
            </w:r>
            <w:r>
              <w:rPr>
                <w:lang w:eastAsia="en-US"/>
              </w:rPr>
              <w:t xml:space="preserve"> required to perform early measurements. </w:t>
            </w:r>
          </w:p>
          <w:p w:rsidR="00AE244B" w:rsidRDefault="00AC698C">
            <w:pPr>
              <w:ind w:leftChars="200" w:left="420"/>
              <w:rPr>
                <w:lang w:eastAsia="en-US"/>
              </w:rPr>
            </w:pPr>
            <w:r>
              <w:rPr>
                <w:lang w:eastAsia="en-US"/>
              </w:rPr>
              <w:t>-</w:t>
            </w:r>
            <w:r>
              <w:rPr>
                <w:lang w:eastAsia="en-US"/>
              </w:rPr>
              <w:tab/>
              <w:t xml:space="preserve">A cell quality threshold (similar to </w:t>
            </w:r>
            <w:proofErr w:type="spellStart"/>
            <w:r>
              <w:rPr>
                <w:lang w:eastAsia="en-US"/>
              </w:rPr>
              <w:t>qualityThreshold</w:t>
            </w:r>
            <w:proofErr w:type="spellEnd"/>
            <w:r>
              <w:rPr>
                <w:lang w:eastAsia="en-US"/>
              </w:rPr>
              <w:t xml:space="preserve"> in LTE </w:t>
            </w:r>
            <w:proofErr w:type="spellStart"/>
            <w:r>
              <w:rPr>
                <w:lang w:eastAsia="en-US"/>
              </w:rPr>
              <w:t>euCA</w:t>
            </w:r>
            <w:proofErr w:type="spellEnd"/>
            <w:r>
              <w:rPr>
                <w:lang w:eastAsia="en-US"/>
              </w:rPr>
              <w:t>) the UE is required to report the measurement results only for the cells which met the configured thresholds.</w:t>
            </w:r>
          </w:p>
          <w:p w:rsidR="00AE244B" w:rsidRDefault="00AC698C">
            <w:pPr>
              <w:ind w:leftChars="200" w:left="420"/>
              <w:rPr>
                <w:highlight w:val="cyan"/>
                <w:lang w:eastAsia="en-US"/>
              </w:rPr>
            </w:pPr>
            <w:r>
              <w:rPr>
                <w:highlight w:val="cyan"/>
                <w:lang w:eastAsia="en-US"/>
              </w:rPr>
              <w:t xml:space="preserve">FFS: A validity Area (similar to </w:t>
            </w:r>
            <w:proofErr w:type="spellStart"/>
            <w:r>
              <w:rPr>
                <w:highlight w:val="cyan"/>
                <w:lang w:eastAsia="en-US"/>
              </w:rPr>
              <w:t>val</w:t>
            </w:r>
            <w:r>
              <w:rPr>
                <w:highlight w:val="cyan"/>
                <w:lang w:eastAsia="en-US"/>
              </w:rPr>
              <w:t>idityArea</w:t>
            </w:r>
            <w:proofErr w:type="spellEnd"/>
            <w:r>
              <w:rPr>
                <w:highlight w:val="cyan"/>
                <w:lang w:eastAsia="en-US"/>
              </w:rPr>
              <w:t xml:space="preserve"> in LTE </w:t>
            </w:r>
            <w:proofErr w:type="spellStart"/>
            <w:r>
              <w:rPr>
                <w:highlight w:val="cyan"/>
                <w:lang w:eastAsia="en-US"/>
              </w:rPr>
              <w:t>euCA</w:t>
            </w:r>
            <w:proofErr w:type="spellEnd"/>
            <w:r>
              <w:rPr>
                <w:highlight w:val="cyan"/>
                <w:lang w:eastAsia="en-US"/>
              </w:rPr>
              <w:t>) to indicate the list of cells within which UE is required to perform early measurements. If the UE reselects to a cell outside this list, the early measurements are no longer required (same as timer expiry).</w:t>
            </w:r>
          </w:p>
          <w:p w:rsidR="00AE244B" w:rsidRDefault="00AC698C">
            <w:pPr>
              <w:numPr>
                <w:ilvl w:val="255"/>
                <w:numId w:val="0"/>
              </w:numPr>
              <w:ind w:leftChars="200" w:left="420"/>
              <w:rPr>
                <w:b/>
                <w:bCs/>
                <w:szCs w:val="21"/>
                <w:lang w:eastAsia="en-US"/>
              </w:rPr>
            </w:pPr>
            <w:r>
              <w:rPr>
                <w:lang w:eastAsia="en-US"/>
              </w:rPr>
              <w:tab/>
            </w:r>
            <w:proofErr w:type="gramStart"/>
            <w:r>
              <w:rPr>
                <w:lang w:eastAsia="en-US"/>
              </w:rPr>
              <w:t>o</w:t>
            </w:r>
            <w:proofErr w:type="gramEnd"/>
            <w:r>
              <w:rPr>
                <w:lang w:eastAsia="en-US"/>
              </w:rPr>
              <w:tab/>
            </w:r>
            <w:r>
              <w:rPr>
                <w:lang w:eastAsia="en-US"/>
              </w:rPr>
              <w:t xml:space="preserve">If it is absent, the UE will not have area limitation of early measurements. </w:t>
            </w:r>
          </w:p>
        </w:tc>
      </w:tr>
    </w:tbl>
    <w:p w:rsidR="00AE244B" w:rsidRDefault="00AC698C">
      <w:pPr>
        <w:numPr>
          <w:ilvl w:val="255"/>
          <w:numId w:val="0"/>
        </w:numPr>
        <w:rPr>
          <w:szCs w:val="21"/>
        </w:rPr>
      </w:pPr>
      <w:r>
        <w:rPr>
          <w:szCs w:val="21"/>
        </w:rPr>
        <w:t xml:space="preserve">In LTE </w:t>
      </w:r>
      <w:proofErr w:type="spellStart"/>
      <w:r>
        <w:rPr>
          <w:szCs w:val="21"/>
        </w:rPr>
        <w:t>euCA</w:t>
      </w:r>
      <w:proofErr w:type="spellEnd"/>
      <w:r>
        <w:rPr>
          <w:szCs w:val="21"/>
        </w:rPr>
        <w:t>, the validity area is optionally configured. The validity area contain</w:t>
      </w:r>
      <w:r w:rsidR="0017511C">
        <w:rPr>
          <w:szCs w:val="21"/>
        </w:rPr>
        <w:t>s a list of cells per frequency. W</w:t>
      </w:r>
      <w:r>
        <w:rPr>
          <w:szCs w:val="21"/>
        </w:rPr>
        <w:t xml:space="preserve">hen </w:t>
      </w:r>
      <w:r w:rsidR="0017511C">
        <w:rPr>
          <w:szCs w:val="21"/>
        </w:rPr>
        <w:t xml:space="preserve">the </w:t>
      </w:r>
      <w:r>
        <w:rPr>
          <w:szCs w:val="21"/>
        </w:rPr>
        <w:t xml:space="preserve">UE moves outside the configured validity area, </w:t>
      </w:r>
      <w:r w:rsidR="0017511C">
        <w:rPr>
          <w:szCs w:val="21"/>
        </w:rPr>
        <w:t xml:space="preserve">the </w:t>
      </w:r>
      <w:r>
        <w:rPr>
          <w:szCs w:val="21"/>
        </w:rPr>
        <w:t>UE stops T</w:t>
      </w:r>
      <w:r>
        <w:rPr>
          <w:szCs w:val="21"/>
        </w:rPr>
        <w:t xml:space="preserve">331 and </w:t>
      </w:r>
      <w:r w:rsidR="0017511C">
        <w:rPr>
          <w:szCs w:val="21"/>
        </w:rPr>
        <w:t xml:space="preserve">the </w:t>
      </w:r>
      <w:r>
        <w:rPr>
          <w:szCs w:val="21"/>
        </w:rPr>
        <w:t xml:space="preserve">corresponding early measurement procedure. Note that in LTE </w:t>
      </w:r>
      <w:proofErr w:type="spellStart"/>
      <w:r>
        <w:rPr>
          <w:szCs w:val="21"/>
        </w:rPr>
        <w:t>euCA</w:t>
      </w:r>
      <w:proofErr w:type="spellEnd"/>
      <w:r>
        <w:rPr>
          <w:szCs w:val="21"/>
        </w:rPr>
        <w:t xml:space="preserve"> </w:t>
      </w:r>
      <w:r w:rsidR="0017511C">
        <w:rPr>
          <w:szCs w:val="21"/>
        </w:rPr>
        <w:t xml:space="preserve">the </w:t>
      </w:r>
      <w:r>
        <w:rPr>
          <w:szCs w:val="21"/>
        </w:rPr>
        <w:t xml:space="preserve">validity area can be configured in both RRC release message and SIB. </w:t>
      </w:r>
    </w:p>
    <w:p w:rsidR="00AE244B" w:rsidRDefault="00AC698C">
      <w:pPr>
        <w:numPr>
          <w:ilvl w:val="0"/>
          <w:numId w:val="4"/>
        </w:numPr>
        <w:ind w:left="1665" w:hanging="1665"/>
        <w:rPr>
          <w:b/>
          <w:bCs/>
          <w:szCs w:val="21"/>
        </w:rPr>
      </w:pPr>
      <w:r>
        <w:rPr>
          <w:b/>
          <w:bCs/>
          <w:szCs w:val="21"/>
        </w:rPr>
        <w:t xml:space="preserve">In LTE </w:t>
      </w:r>
      <w:proofErr w:type="spellStart"/>
      <w:r>
        <w:rPr>
          <w:b/>
          <w:bCs/>
          <w:szCs w:val="21"/>
        </w:rPr>
        <w:t>euCA</w:t>
      </w:r>
      <w:proofErr w:type="spellEnd"/>
      <w:r>
        <w:rPr>
          <w:b/>
          <w:bCs/>
          <w:szCs w:val="21"/>
        </w:rPr>
        <w:t xml:space="preserve">, </w:t>
      </w:r>
      <w:r w:rsidR="0017511C">
        <w:rPr>
          <w:b/>
          <w:bCs/>
          <w:szCs w:val="21"/>
        </w:rPr>
        <w:t xml:space="preserve">the </w:t>
      </w:r>
      <w:r>
        <w:rPr>
          <w:b/>
          <w:bCs/>
          <w:szCs w:val="21"/>
        </w:rPr>
        <w:t>validity area is optional</w:t>
      </w:r>
      <w:r w:rsidR="0017511C">
        <w:rPr>
          <w:b/>
          <w:bCs/>
          <w:szCs w:val="21"/>
        </w:rPr>
        <w:t>ly</w:t>
      </w:r>
      <w:r>
        <w:rPr>
          <w:b/>
          <w:bCs/>
          <w:szCs w:val="21"/>
        </w:rPr>
        <w:t xml:space="preserve"> configured in RRC release message and SIB. If configured, </w:t>
      </w:r>
      <w:r w:rsidR="0017511C">
        <w:rPr>
          <w:b/>
          <w:bCs/>
          <w:szCs w:val="21"/>
        </w:rPr>
        <w:t xml:space="preserve">the </w:t>
      </w:r>
      <w:r>
        <w:rPr>
          <w:b/>
          <w:bCs/>
          <w:szCs w:val="21"/>
        </w:rPr>
        <w:t>UE will stop T33</w:t>
      </w:r>
      <w:r>
        <w:rPr>
          <w:b/>
          <w:bCs/>
          <w:szCs w:val="21"/>
        </w:rPr>
        <w:t xml:space="preserve">1 and early measurement as </w:t>
      </w:r>
      <w:r w:rsidR="0017511C">
        <w:rPr>
          <w:b/>
          <w:bCs/>
          <w:szCs w:val="21"/>
        </w:rPr>
        <w:t>soon</w:t>
      </w:r>
      <w:r>
        <w:rPr>
          <w:b/>
          <w:bCs/>
          <w:szCs w:val="21"/>
        </w:rPr>
        <w:t xml:space="preserve"> as </w:t>
      </w:r>
      <w:r w:rsidR="0017511C">
        <w:rPr>
          <w:b/>
          <w:bCs/>
          <w:szCs w:val="21"/>
        </w:rPr>
        <w:t xml:space="preserve">the </w:t>
      </w:r>
      <w:r>
        <w:rPr>
          <w:b/>
          <w:bCs/>
          <w:szCs w:val="21"/>
        </w:rPr>
        <w:t>UE moves outside the validity area.</w:t>
      </w:r>
    </w:p>
    <w:p w:rsidR="00AE244B" w:rsidRDefault="00AC698C">
      <w:pPr>
        <w:numPr>
          <w:ilvl w:val="255"/>
          <w:numId w:val="0"/>
        </w:numPr>
        <w:rPr>
          <w:b/>
          <w:bCs/>
          <w:szCs w:val="21"/>
        </w:rPr>
      </w:pPr>
      <w:r>
        <w:rPr>
          <w:szCs w:val="21"/>
        </w:rPr>
        <w:t xml:space="preserve">In addition, if </w:t>
      </w:r>
      <w:r w:rsidR="00F955FD">
        <w:rPr>
          <w:szCs w:val="21"/>
        </w:rPr>
        <w:t xml:space="preserve">the </w:t>
      </w:r>
      <w:r>
        <w:rPr>
          <w:szCs w:val="21"/>
        </w:rPr>
        <w:t xml:space="preserve">UE is not configured with </w:t>
      </w:r>
      <w:proofErr w:type="spellStart"/>
      <w:r>
        <w:rPr>
          <w:i/>
          <w:iCs/>
          <w:szCs w:val="21"/>
        </w:rPr>
        <w:t>measIdleCarrierListEUTRA</w:t>
      </w:r>
      <w:proofErr w:type="spellEnd"/>
      <w:r>
        <w:rPr>
          <w:i/>
          <w:iCs/>
          <w:szCs w:val="21"/>
        </w:rPr>
        <w:t xml:space="preserve"> </w:t>
      </w:r>
      <w:r>
        <w:rPr>
          <w:szCs w:val="21"/>
        </w:rPr>
        <w:t xml:space="preserve">from the RRC release message, based on current </w:t>
      </w:r>
      <w:r>
        <w:rPr>
          <w:szCs w:val="21"/>
        </w:rPr>
        <w:lastRenderedPageBreak/>
        <w:t>specif</w:t>
      </w:r>
      <w:r w:rsidR="00F955FD">
        <w:rPr>
          <w:szCs w:val="21"/>
        </w:rPr>
        <w:t>ication (as below</w:t>
      </w:r>
      <w:r w:rsidR="0076549F">
        <w:rPr>
          <w:szCs w:val="21"/>
        </w:rPr>
        <w:t>, from</w:t>
      </w:r>
      <w:r w:rsidR="00F955FD">
        <w:rPr>
          <w:szCs w:val="21"/>
        </w:rPr>
        <w:t xml:space="preserve"> [2,</w:t>
      </w:r>
      <w:r w:rsidR="0076549F">
        <w:rPr>
          <w:szCs w:val="21"/>
        </w:rPr>
        <w:t xml:space="preserve"> </w:t>
      </w:r>
      <w:r w:rsidR="00F955FD">
        <w:rPr>
          <w:szCs w:val="21"/>
        </w:rPr>
        <w:t>5.2.2.12])</w:t>
      </w:r>
      <w:r>
        <w:rPr>
          <w:szCs w:val="21"/>
        </w:rPr>
        <w:t xml:space="preserve">, </w:t>
      </w:r>
      <w:r w:rsidR="00F955FD">
        <w:rPr>
          <w:szCs w:val="21"/>
        </w:rPr>
        <w:t xml:space="preserve">the </w:t>
      </w:r>
      <w:r>
        <w:rPr>
          <w:szCs w:val="21"/>
        </w:rPr>
        <w:t>UE will acquire information fro</w:t>
      </w:r>
      <w:r>
        <w:rPr>
          <w:szCs w:val="21"/>
        </w:rPr>
        <w:t xml:space="preserve">m system information also upon cell re-selection. </w:t>
      </w:r>
    </w:p>
    <w:tbl>
      <w:tblPr>
        <w:tblStyle w:val="TableGrid"/>
        <w:tblW w:w="9545" w:type="dxa"/>
        <w:tblInd w:w="751" w:type="dxa"/>
        <w:tblLayout w:type="fixed"/>
        <w:tblLook w:val="04A0"/>
      </w:tblPr>
      <w:tblGrid>
        <w:gridCol w:w="9545"/>
      </w:tblGrid>
      <w:tr w:rsidR="00AE244B">
        <w:tc>
          <w:tcPr>
            <w:tcW w:w="9545" w:type="dxa"/>
          </w:tcPr>
          <w:p w:rsidR="00AE244B" w:rsidRDefault="00AC698C">
            <w:pPr>
              <w:rPr>
                <w:lang w:eastAsia="en-US"/>
              </w:rPr>
            </w:pPr>
            <w:r>
              <w:rPr>
                <w:lang w:eastAsia="en-US"/>
              </w:rPr>
              <w:t xml:space="preserve">Upon receiving </w:t>
            </w:r>
            <w:r>
              <w:rPr>
                <w:i/>
                <w:lang w:eastAsia="en-US"/>
              </w:rPr>
              <w:t>SystemInformationBlockType5</w:t>
            </w:r>
            <w:r>
              <w:rPr>
                <w:lang w:eastAsia="en-US"/>
              </w:rPr>
              <w:t>, the UE shall:</w:t>
            </w:r>
          </w:p>
          <w:p w:rsidR="00AE244B" w:rsidRDefault="00AC698C">
            <w:pPr>
              <w:pStyle w:val="B1"/>
              <w:ind w:left="0" w:firstLine="0"/>
              <w:rPr>
                <w:kern w:val="2"/>
                <w:sz w:val="21"/>
                <w:szCs w:val="24"/>
                <w:lang w:val="en-US" w:eastAsia="zh-CN"/>
              </w:rPr>
            </w:pPr>
            <w:r>
              <w:rPr>
                <w:kern w:val="2"/>
                <w:sz w:val="21"/>
                <w:szCs w:val="24"/>
                <w:lang w:val="en-US" w:eastAsia="zh-CN"/>
              </w:rPr>
              <w:t>[skipped]</w:t>
            </w:r>
          </w:p>
          <w:p w:rsidR="00AE244B" w:rsidRDefault="00AC698C">
            <w:pPr>
              <w:pStyle w:val="B1"/>
              <w:rPr>
                <w:lang w:eastAsia="zh-CN"/>
              </w:rPr>
            </w:pPr>
            <w:r>
              <w:t>1&gt;</w:t>
            </w:r>
            <w:r>
              <w:tab/>
              <w:t xml:space="preserve">if in RRC_IDLE and UE has stored </w:t>
            </w:r>
            <w:proofErr w:type="spellStart"/>
            <w:r>
              <w:rPr>
                <w:i/>
              </w:rPr>
              <w:t>VarMeasIdleConfig</w:t>
            </w:r>
            <w:proofErr w:type="spellEnd"/>
            <w:r>
              <w:rPr>
                <w:u w:val="single"/>
              </w:rPr>
              <w:t xml:space="preserve"> </w:t>
            </w:r>
            <w:r>
              <w:t xml:space="preserve">and SIB5 includes </w:t>
            </w:r>
            <w:r>
              <w:rPr>
                <w:lang w:eastAsia="zh-CN"/>
              </w:rPr>
              <w:t xml:space="preserve">the </w:t>
            </w:r>
            <w:proofErr w:type="spellStart"/>
            <w:r>
              <w:rPr>
                <w:i/>
                <w:lang w:eastAsia="zh-CN"/>
              </w:rPr>
              <w:t>measIdleConfigSIB</w:t>
            </w:r>
            <w:proofErr w:type="spellEnd"/>
            <w:r>
              <w:rPr>
                <w:i/>
                <w:lang w:eastAsia="zh-CN"/>
              </w:rPr>
              <w:t xml:space="preserve"> </w:t>
            </w:r>
            <w:r>
              <w:rPr>
                <w:lang w:eastAsia="zh-CN"/>
              </w:rPr>
              <w:t xml:space="preserve">and the UE is capable of IDLE mode </w:t>
            </w:r>
            <w:r>
              <w:rPr>
                <w:lang w:eastAsia="zh-CN"/>
              </w:rPr>
              <w:t>measurements for CA:</w:t>
            </w:r>
          </w:p>
          <w:p w:rsidR="00AE244B" w:rsidRDefault="00AC698C">
            <w:pPr>
              <w:pStyle w:val="B2"/>
              <w:rPr>
                <w:highlight w:val="cyan"/>
              </w:rPr>
            </w:pPr>
            <w:r>
              <w:rPr>
                <w:highlight w:val="cyan"/>
              </w:rPr>
              <w:t>2&gt;</w:t>
            </w:r>
            <w:r>
              <w:rPr>
                <w:highlight w:val="cyan"/>
              </w:rPr>
              <w:tab/>
              <w:t xml:space="preserve">if T331 is running and </w:t>
            </w:r>
            <w:proofErr w:type="spellStart"/>
            <w:r>
              <w:rPr>
                <w:i/>
                <w:highlight w:val="cyan"/>
              </w:rPr>
              <w:t>VarMeasIdleConfig</w:t>
            </w:r>
            <w:proofErr w:type="spellEnd"/>
            <w:r>
              <w:rPr>
                <w:highlight w:val="cyan"/>
              </w:rPr>
              <w:t xml:space="preserve"> does not contain </w:t>
            </w:r>
            <w:proofErr w:type="spellStart"/>
            <w:r>
              <w:rPr>
                <w:i/>
                <w:iCs/>
                <w:highlight w:val="cyan"/>
              </w:rPr>
              <w:t>measIdleCarrierListEUTRA</w:t>
            </w:r>
            <w:proofErr w:type="spellEnd"/>
            <w:r>
              <w:rPr>
                <w:highlight w:val="cyan"/>
              </w:rPr>
              <w:t xml:space="preserve"> received from the </w:t>
            </w:r>
            <w:proofErr w:type="spellStart"/>
            <w:r>
              <w:rPr>
                <w:i/>
                <w:highlight w:val="cyan"/>
              </w:rPr>
              <w:t>RRCConnectionRelease</w:t>
            </w:r>
            <w:proofErr w:type="spellEnd"/>
            <w:r>
              <w:rPr>
                <w:highlight w:val="cyan"/>
              </w:rPr>
              <w:t xml:space="preserve"> message:</w:t>
            </w:r>
          </w:p>
          <w:p w:rsidR="00AE244B" w:rsidRDefault="00AC698C">
            <w:pPr>
              <w:pStyle w:val="B3"/>
              <w:ind w:leftChars="400" w:left="1240" w:hanging="400"/>
              <w:rPr>
                <w:highlight w:val="cyan"/>
                <w:lang w:val="en-GB"/>
              </w:rPr>
            </w:pPr>
            <w:r>
              <w:rPr>
                <w:highlight w:val="cyan"/>
                <w:lang w:val="en-GB"/>
              </w:rPr>
              <w:t>3&gt;</w:t>
            </w:r>
            <w:r>
              <w:rPr>
                <w:highlight w:val="cyan"/>
                <w:lang w:val="en-GB"/>
              </w:rPr>
              <w:tab/>
              <w:t xml:space="preserve">store </w:t>
            </w:r>
            <w:r>
              <w:rPr>
                <w:highlight w:val="cyan"/>
              </w:rPr>
              <w:t xml:space="preserve">or replace </w:t>
            </w:r>
            <w:r>
              <w:rPr>
                <w:highlight w:val="cyan"/>
                <w:lang w:val="en-GB"/>
              </w:rPr>
              <w:t xml:space="preserve">the </w:t>
            </w:r>
            <w:proofErr w:type="spellStart"/>
            <w:r>
              <w:rPr>
                <w:i/>
                <w:iCs/>
                <w:highlight w:val="cyan"/>
                <w:lang w:val="en-GB"/>
              </w:rPr>
              <w:t>measIdleCarrierListEUTRA</w:t>
            </w:r>
            <w:proofErr w:type="spellEnd"/>
            <w:r>
              <w:rPr>
                <w:highlight w:val="cyan"/>
                <w:lang w:val="en-GB"/>
              </w:rPr>
              <w:t xml:space="preserve"> of </w:t>
            </w:r>
            <w:proofErr w:type="spellStart"/>
            <w:r>
              <w:rPr>
                <w:i/>
                <w:highlight w:val="cyan"/>
                <w:lang w:val="en-GB" w:eastAsia="zh-CN"/>
              </w:rPr>
              <w:t>measIdleConfigSIB</w:t>
            </w:r>
            <w:proofErr w:type="spellEnd"/>
            <w:r>
              <w:rPr>
                <w:i/>
                <w:highlight w:val="cyan"/>
                <w:lang w:val="en-GB" w:eastAsia="zh-CN"/>
              </w:rPr>
              <w:t xml:space="preserve"> </w:t>
            </w:r>
            <w:r>
              <w:rPr>
                <w:highlight w:val="cyan"/>
                <w:lang w:val="en-GB" w:eastAsia="zh-CN"/>
              </w:rPr>
              <w:t xml:space="preserve">within </w:t>
            </w:r>
            <w:proofErr w:type="spellStart"/>
            <w:r>
              <w:rPr>
                <w:i/>
                <w:highlight w:val="cyan"/>
                <w:lang w:val="en-GB"/>
              </w:rPr>
              <w:t>VarMeasIdleConfig</w:t>
            </w:r>
            <w:proofErr w:type="spellEnd"/>
            <w:r>
              <w:rPr>
                <w:highlight w:val="cyan"/>
                <w:lang w:val="en-GB" w:eastAsia="zh-CN"/>
              </w:rPr>
              <w:t>;</w:t>
            </w:r>
          </w:p>
          <w:p w:rsidR="00AE244B" w:rsidRDefault="00AC698C">
            <w:pPr>
              <w:pStyle w:val="B2"/>
            </w:pPr>
            <w:r>
              <w:t>2&gt;</w:t>
            </w:r>
            <w:r>
              <w:tab/>
              <w:t>pe</w:t>
            </w:r>
            <w:r>
              <w:t>rform idle mode measurements as</w:t>
            </w:r>
            <w:r>
              <w:rPr>
                <w:i/>
              </w:rPr>
              <w:t xml:space="preserve"> </w:t>
            </w:r>
            <w:r>
              <w:t>specified in</w:t>
            </w:r>
            <w:r>
              <w:rPr>
                <w:i/>
              </w:rPr>
              <w:t xml:space="preserve"> </w:t>
            </w:r>
            <w:r>
              <w:t>5.6.20;</w:t>
            </w:r>
          </w:p>
          <w:p w:rsidR="00AE244B" w:rsidRDefault="00AC698C">
            <w:pPr>
              <w:rPr>
                <w:b/>
                <w:bCs/>
                <w:szCs w:val="21"/>
                <w:lang w:eastAsia="en-US"/>
              </w:rPr>
            </w:pPr>
            <w:r>
              <w:rPr>
                <w:lang w:eastAsia="en-US"/>
              </w:rPr>
              <w:t>[skipped]</w:t>
            </w:r>
          </w:p>
        </w:tc>
      </w:tr>
    </w:tbl>
    <w:p w:rsidR="00AE244B" w:rsidRDefault="00AC698C">
      <w:pPr>
        <w:numPr>
          <w:ilvl w:val="255"/>
          <w:numId w:val="0"/>
        </w:numPr>
        <w:rPr>
          <w:szCs w:val="21"/>
        </w:rPr>
      </w:pPr>
      <w:r>
        <w:rPr>
          <w:szCs w:val="21"/>
        </w:rPr>
        <w:t>If we follow the same principle in NR, the validity area configuration acquired from source cell will be r</w:t>
      </w:r>
      <w:r w:rsidR="0076549F">
        <w:rPr>
          <w:szCs w:val="21"/>
        </w:rPr>
        <w:t>eplaced after cell re-selection. F</w:t>
      </w:r>
      <w:r>
        <w:rPr>
          <w:szCs w:val="21"/>
        </w:rPr>
        <w:t xml:space="preserve">rom UE perspective, the configured validity area </w:t>
      </w:r>
      <w:r>
        <w:rPr>
          <w:szCs w:val="21"/>
        </w:rPr>
        <w:t>will be replaced as well which makes it power</w:t>
      </w:r>
      <w:r w:rsidR="00F955FD">
        <w:rPr>
          <w:szCs w:val="21"/>
        </w:rPr>
        <w:t>less in the end. Furthermore, the network</w:t>
      </w:r>
      <w:r>
        <w:rPr>
          <w:szCs w:val="21"/>
        </w:rPr>
        <w:t xml:space="preserve"> can control whether </w:t>
      </w:r>
      <w:r w:rsidR="00F955FD">
        <w:rPr>
          <w:szCs w:val="21"/>
        </w:rPr>
        <w:t xml:space="preserve">the </w:t>
      </w:r>
      <w:r>
        <w:rPr>
          <w:szCs w:val="21"/>
        </w:rPr>
        <w:t>UE performs early measurement in a cell by not configuring “early measurement indication in SIB”.</w:t>
      </w:r>
    </w:p>
    <w:p w:rsidR="00AE244B" w:rsidRDefault="00AC698C">
      <w:pPr>
        <w:numPr>
          <w:ilvl w:val="0"/>
          <w:numId w:val="4"/>
        </w:numPr>
        <w:ind w:left="1665" w:hanging="1665"/>
        <w:rPr>
          <w:b/>
          <w:bCs/>
          <w:szCs w:val="21"/>
        </w:rPr>
      </w:pPr>
      <w:r>
        <w:rPr>
          <w:b/>
          <w:bCs/>
          <w:szCs w:val="21"/>
        </w:rPr>
        <w:t>When UE acquires detailed early measurement configuration fr</w:t>
      </w:r>
      <w:r>
        <w:rPr>
          <w:b/>
          <w:bCs/>
          <w:szCs w:val="21"/>
        </w:rPr>
        <w:t xml:space="preserve">om SIB (e.g. it is absent in </w:t>
      </w:r>
      <w:proofErr w:type="spellStart"/>
      <w:r>
        <w:rPr>
          <w:b/>
          <w:bCs/>
          <w:i/>
          <w:iCs/>
          <w:szCs w:val="21"/>
        </w:rPr>
        <w:t>RRCRelease</w:t>
      </w:r>
      <w:proofErr w:type="spellEnd"/>
      <w:r>
        <w:rPr>
          <w:b/>
          <w:bCs/>
          <w:szCs w:val="21"/>
        </w:rPr>
        <w:t xml:space="preserve">), the measurement configuration will be replaced upon cell reselection, as well as </w:t>
      </w:r>
      <w:r w:rsidR="0076549F">
        <w:rPr>
          <w:b/>
          <w:bCs/>
          <w:szCs w:val="21"/>
        </w:rPr>
        <w:t xml:space="preserve">the </w:t>
      </w:r>
      <w:r>
        <w:rPr>
          <w:b/>
          <w:bCs/>
          <w:szCs w:val="21"/>
        </w:rPr>
        <w:t>validity area.</w:t>
      </w:r>
    </w:p>
    <w:p w:rsidR="00AE244B" w:rsidRDefault="00AC698C">
      <w:pPr>
        <w:numPr>
          <w:ilvl w:val="255"/>
          <w:numId w:val="0"/>
        </w:numPr>
        <w:rPr>
          <w:szCs w:val="21"/>
        </w:rPr>
      </w:pPr>
      <w:r>
        <w:rPr>
          <w:szCs w:val="21"/>
        </w:rPr>
        <w:t>For the dedicated early measurement configuration case, it is still not clear for the network how to configure the val</w:t>
      </w:r>
      <w:r>
        <w:rPr>
          <w:szCs w:val="21"/>
        </w:rPr>
        <w:t>idity area. To exclude cells not support</w:t>
      </w:r>
      <w:r w:rsidR="0076549F">
        <w:rPr>
          <w:szCs w:val="21"/>
        </w:rPr>
        <w:t>ing</w:t>
      </w:r>
      <w:r>
        <w:rPr>
          <w:szCs w:val="21"/>
        </w:rPr>
        <w:t xml:space="preserve"> early measurement, </w:t>
      </w:r>
      <w:r w:rsidR="0076549F">
        <w:rPr>
          <w:szCs w:val="21"/>
        </w:rPr>
        <w:t>the network can do so by disabling</w:t>
      </w:r>
      <w:r>
        <w:rPr>
          <w:szCs w:val="21"/>
        </w:rPr>
        <w:t xml:space="preserve"> the “early measurement indication in SIB”. Moreover, in NR, both CA and DC are taken into consideration, which means </w:t>
      </w:r>
      <w:r w:rsidR="0076549F">
        <w:rPr>
          <w:szCs w:val="21"/>
        </w:rPr>
        <w:t xml:space="preserve">the </w:t>
      </w:r>
      <w:r>
        <w:rPr>
          <w:szCs w:val="21"/>
        </w:rPr>
        <w:t>UE is required to measure both intra-site cell</w:t>
      </w:r>
      <w:r>
        <w:rPr>
          <w:szCs w:val="21"/>
        </w:rPr>
        <w:t>s and inter-site cells. So far, from network perspective, the usage and benefit of configuring validity area is unclear. Since it relates to CA a</w:t>
      </w:r>
      <w:r w:rsidR="0076549F">
        <w:rPr>
          <w:szCs w:val="21"/>
        </w:rPr>
        <w:t xml:space="preserve">nd DC deployment, we suggest </w:t>
      </w:r>
      <w:r>
        <w:rPr>
          <w:szCs w:val="21"/>
        </w:rPr>
        <w:t>discuss</w:t>
      </w:r>
      <w:r w:rsidR="0076549F">
        <w:rPr>
          <w:szCs w:val="21"/>
        </w:rPr>
        <w:t>ing</w:t>
      </w:r>
      <w:r>
        <w:rPr>
          <w:szCs w:val="21"/>
        </w:rPr>
        <w:t xml:space="preserve"> it until the use case is clear.</w:t>
      </w:r>
    </w:p>
    <w:p w:rsidR="00AE244B" w:rsidRDefault="00AC698C">
      <w:pPr>
        <w:numPr>
          <w:ilvl w:val="0"/>
          <w:numId w:val="5"/>
        </w:numPr>
        <w:ind w:left="1245" w:hanging="1245"/>
        <w:rPr>
          <w:b/>
          <w:bCs/>
          <w:szCs w:val="21"/>
        </w:rPr>
      </w:pPr>
      <w:r>
        <w:rPr>
          <w:b/>
          <w:bCs/>
          <w:szCs w:val="21"/>
        </w:rPr>
        <w:t>Validity area is not supported at least</w:t>
      </w:r>
      <w:r>
        <w:rPr>
          <w:b/>
          <w:bCs/>
          <w:szCs w:val="21"/>
        </w:rPr>
        <w:t xml:space="preserve"> for early measurement configuration in SIB.</w:t>
      </w:r>
    </w:p>
    <w:p w:rsidR="00AE244B" w:rsidRDefault="00AC698C">
      <w:pPr>
        <w:rPr>
          <w:szCs w:val="21"/>
        </w:rPr>
      </w:pPr>
      <w:r>
        <w:rPr>
          <w:szCs w:val="21"/>
        </w:rPr>
        <w:t xml:space="preserve">In LTE </w:t>
      </w:r>
      <w:proofErr w:type="spellStart"/>
      <w:r>
        <w:rPr>
          <w:szCs w:val="21"/>
        </w:rPr>
        <w:t>euCA</w:t>
      </w:r>
      <w:proofErr w:type="spellEnd"/>
      <w:r>
        <w:rPr>
          <w:szCs w:val="21"/>
        </w:rPr>
        <w:t xml:space="preserve">, </w:t>
      </w:r>
      <w:r w:rsidR="0076549F">
        <w:rPr>
          <w:szCs w:val="21"/>
        </w:rPr>
        <w:t xml:space="preserve">the </w:t>
      </w:r>
      <w:r>
        <w:rPr>
          <w:szCs w:val="21"/>
        </w:rPr>
        <w:t xml:space="preserve">UE is only required to perform measurement if it can support CA operation between </w:t>
      </w:r>
      <w:r w:rsidR="0076549F">
        <w:rPr>
          <w:szCs w:val="21"/>
        </w:rPr>
        <w:t xml:space="preserve">the </w:t>
      </w:r>
      <w:r>
        <w:rPr>
          <w:szCs w:val="21"/>
        </w:rPr>
        <w:t>current serving cell and the frequency. We understand this is beneficial for UE power saving, i.e. to avoid unnecess</w:t>
      </w:r>
      <w:r>
        <w:rPr>
          <w:szCs w:val="21"/>
        </w:rPr>
        <w:t>ary measurement when taking UE capability into account.</w:t>
      </w:r>
    </w:p>
    <w:p w:rsidR="00AE244B" w:rsidRDefault="0076549F">
      <w:pPr>
        <w:rPr>
          <w:szCs w:val="21"/>
        </w:rPr>
      </w:pPr>
      <w:r>
        <w:rPr>
          <w:szCs w:val="21"/>
        </w:rPr>
        <w:t>Following is the</w:t>
      </w:r>
      <w:r w:rsidR="00AC698C">
        <w:rPr>
          <w:szCs w:val="21"/>
        </w:rPr>
        <w:t xml:space="preserve"> idle measurement procedure description in [2, 5.6.20].</w:t>
      </w:r>
    </w:p>
    <w:tbl>
      <w:tblPr>
        <w:tblStyle w:val="TableGrid"/>
        <w:tblW w:w="9845" w:type="dxa"/>
        <w:tblInd w:w="451" w:type="dxa"/>
        <w:tblLayout w:type="fixed"/>
        <w:tblLook w:val="04A0"/>
      </w:tblPr>
      <w:tblGrid>
        <w:gridCol w:w="9845"/>
      </w:tblGrid>
      <w:tr w:rsidR="00AE244B">
        <w:tc>
          <w:tcPr>
            <w:tcW w:w="9845" w:type="dxa"/>
          </w:tcPr>
          <w:p w:rsidR="00AE244B" w:rsidRDefault="00AC698C">
            <w:pPr>
              <w:rPr>
                <w:lang w:eastAsia="en-US"/>
              </w:rPr>
            </w:pPr>
            <w:r>
              <w:rPr>
                <w:lang w:eastAsia="en-US"/>
              </w:rPr>
              <w:t>While T331 is running, the UE shall:</w:t>
            </w:r>
          </w:p>
          <w:p w:rsidR="00AE244B" w:rsidRDefault="00AC698C">
            <w:pPr>
              <w:pStyle w:val="B1"/>
            </w:pPr>
            <w:r>
              <w:t>1&gt;</w:t>
            </w:r>
            <w:r>
              <w:tab/>
              <w:t>perform the measurements in accordance with the following:</w:t>
            </w:r>
          </w:p>
          <w:p w:rsidR="00AE244B" w:rsidRDefault="00AC698C">
            <w:pPr>
              <w:pStyle w:val="B2"/>
              <w:rPr>
                <w:i/>
              </w:rPr>
            </w:pPr>
            <w:r>
              <w:t>2&gt;</w:t>
            </w:r>
            <w:r>
              <w:tab/>
              <w:t xml:space="preserve">for each entry in </w:t>
            </w:r>
            <w:proofErr w:type="spellStart"/>
            <w:r>
              <w:rPr>
                <w:i/>
              </w:rPr>
              <w:t>measIdleCarrierListEUTRA</w:t>
            </w:r>
            <w:proofErr w:type="spellEnd"/>
            <w:r>
              <w:t xml:space="preserve"> within </w:t>
            </w:r>
            <w:proofErr w:type="spellStart"/>
            <w:r>
              <w:rPr>
                <w:i/>
              </w:rPr>
              <w:t>VarMeasIdleConfig</w:t>
            </w:r>
            <w:proofErr w:type="spellEnd"/>
            <w:r>
              <w:t>:</w:t>
            </w:r>
          </w:p>
          <w:p w:rsidR="00AE244B" w:rsidRDefault="00AC698C">
            <w:pPr>
              <w:pStyle w:val="B3"/>
              <w:ind w:leftChars="400" w:left="1240" w:hanging="400"/>
              <w:rPr>
                <w:highlight w:val="cyan"/>
                <w:lang w:val="en-GB"/>
              </w:rPr>
            </w:pPr>
            <w:r>
              <w:rPr>
                <w:highlight w:val="cyan"/>
                <w:lang w:val="en-GB"/>
              </w:rPr>
              <w:t>3&gt;</w:t>
            </w:r>
            <w:r>
              <w:rPr>
                <w:highlight w:val="cyan"/>
                <w:lang w:val="en-GB"/>
              </w:rPr>
              <w:tab/>
              <w:t xml:space="preserve">if UE supports carrier aggregation between serving carrier and the carrier frequency and bandwidth </w:t>
            </w:r>
            <w:r>
              <w:rPr>
                <w:highlight w:val="cyan"/>
                <w:lang w:val="en-GB"/>
              </w:rPr>
              <w:lastRenderedPageBreak/>
              <w:t xml:space="preserve">indicated by </w:t>
            </w:r>
            <w:proofErr w:type="spellStart"/>
            <w:r>
              <w:rPr>
                <w:i/>
                <w:highlight w:val="cyan"/>
                <w:lang w:val="en-GB"/>
              </w:rPr>
              <w:t>carrierFreq</w:t>
            </w:r>
            <w:proofErr w:type="spellEnd"/>
            <w:r>
              <w:rPr>
                <w:highlight w:val="cyan"/>
                <w:lang w:val="en-GB"/>
              </w:rPr>
              <w:t xml:space="preserve"> and </w:t>
            </w:r>
            <w:proofErr w:type="spellStart"/>
            <w:r>
              <w:rPr>
                <w:i/>
                <w:highlight w:val="cyan"/>
                <w:lang w:val="en-GB"/>
              </w:rPr>
              <w:t>allowedMeasBandwidth</w:t>
            </w:r>
            <w:proofErr w:type="spellEnd"/>
            <w:r>
              <w:rPr>
                <w:highlight w:val="cyan"/>
                <w:lang w:val="en-GB"/>
              </w:rPr>
              <w:t xml:space="preserve"> within the corresponding entry;</w:t>
            </w:r>
          </w:p>
          <w:p w:rsidR="00AE244B" w:rsidRDefault="00AC698C">
            <w:pPr>
              <w:pStyle w:val="B4"/>
              <w:ind w:leftChars="600" w:left="1660" w:hanging="400"/>
              <w:rPr>
                <w:highlight w:val="cyan"/>
              </w:rPr>
            </w:pPr>
            <w:r>
              <w:rPr>
                <w:highlight w:val="cyan"/>
              </w:rPr>
              <w:t>4&gt;</w:t>
            </w:r>
            <w:r>
              <w:rPr>
                <w:highlight w:val="cyan"/>
              </w:rPr>
              <w:tab/>
              <w:t>perform measuremen</w:t>
            </w:r>
            <w:r>
              <w:rPr>
                <w:highlight w:val="cyan"/>
              </w:rPr>
              <w:t xml:space="preserve">ts in the carrier frequency and bandwidth indicated by </w:t>
            </w:r>
            <w:proofErr w:type="spellStart"/>
            <w:r>
              <w:rPr>
                <w:i/>
                <w:highlight w:val="cyan"/>
              </w:rPr>
              <w:t>carrierFreq</w:t>
            </w:r>
            <w:proofErr w:type="spellEnd"/>
            <w:r>
              <w:rPr>
                <w:highlight w:val="cyan"/>
              </w:rPr>
              <w:t xml:space="preserve"> and </w:t>
            </w:r>
            <w:proofErr w:type="spellStart"/>
            <w:r>
              <w:rPr>
                <w:i/>
                <w:highlight w:val="cyan"/>
              </w:rPr>
              <w:t>allowedMeasBandwidth</w:t>
            </w:r>
            <w:proofErr w:type="spellEnd"/>
            <w:r>
              <w:rPr>
                <w:highlight w:val="cyan"/>
              </w:rPr>
              <w:t xml:space="preserve"> within the corresponding entry;</w:t>
            </w:r>
          </w:p>
          <w:p w:rsidR="00AE244B" w:rsidRDefault="00AC698C">
            <w:pPr>
              <w:pStyle w:val="B4"/>
              <w:ind w:leftChars="600" w:left="1660" w:hanging="400"/>
            </w:pPr>
            <w:r>
              <w:t>4&gt;</w:t>
            </w:r>
            <w:r>
              <w:tab/>
              <w:t xml:space="preserve">if the </w:t>
            </w:r>
            <w:proofErr w:type="spellStart"/>
            <w:r>
              <w:rPr>
                <w:i/>
              </w:rPr>
              <w:t>measCellList</w:t>
            </w:r>
            <w:proofErr w:type="spellEnd"/>
            <w:r>
              <w:t xml:space="preserve"> is included:</w:t>
            </w:r>
          </w:p>
          <w:p w:rsidR="00AE244B" w:rsidRDefault="00AC698C">
            <w:pPr>
              <w:pStyle w:val="B5"/>
              <w:ind w:leftChars="600" w:left="1660" w:hanging="400"/>
            </w:pPr>
            <w:r>
              <w:t>5&gt;</w:t>
            </w:r>
            <w:r>
              <w:tab/>
              <w:t xml:space="preserve">consider </w:t>
            </w:r>
            <w:proofErr w:type="spellStart"/>
            <w:r>
              <w:t>PCell</w:t>
            </w:r>
            <w:proofErr w:type="spellEnd"/>
            <w:r>
              <w:t xml:space="preserve"> and cells identified by each entry within the </w:t>
            </w:r>
            <w:proofErr w:type="spellStart"/>
            <w:r>
              <w:rPr>
                <w:i/>
              </w:rPr>
              <w:t>measCellList</w:t>
            </w:r>
            <w:proofErr w:type="spellEnd"/>
            <w:r>
              <w:t xml:space="preserve"> to be applicable for idle mode measurement reporting;4&gt;</w:t>
            </w:r>
            <w:r>
              <w:tab/>
              <w:t>else:</w:t>
            </w:r>
          </w:p>
          <w:p w:rsidR="00AE244B" w:rsidRDefault="00AC698C">
            <w:pPr>
              <w:pStyle w:val="B5"/>
              <w:ind w:leftChars="800" w:left="2080" w:hanging="400"/>
            </w:pPr>
            <w:r>
              <w:t>5&gt;</w:t>
            </w:r>
            <w:r>
              <w:tab/>
              <w:t xml:space="preserve">consider </w:t>
            </w:r>
            <w:proofErr w:type="spellStart"/>
            <w:r>
              <w:t>PCell</w:t>
            </w:r>
            <w:proofErr w:type="spellEnd"/>
            <w:r>
              <w:t xml:space="preserve"> and up to </w:t>
            </w:r>
            <w:proofErr w:type="spellStart"/>
            <w:r>
              <w:rPr>
                <w:i/>
              </w:rPr>
              <w:t>maxCellMeasIdle</w:t>
            </w:r>
            <w:proofErr w:type="spellEnd"/>
            <w:r>
              <w:t xml:space="preserve"> strongest identified cells whose RSRP/RSRQ measurement results are above the value(s) provided in </w:t>
            </w:r>
            <w:proofErr w:type="spellStart"/>
            <w:r>
              <w:rPr>
                <w:i/>
              </w:rPr>
              <w:t>qualityThreshold</w:t>
            </w:r>
            <w:proofErr w:type="spellEnd"/>
            <w:r>
              <w:t xml:space="preserve"> (if any) to be applicable for idle</w:t>
            </w:r>
            <w:r>
              <w:t xml:space="preserve"> mode measurement reporting;</w:t>
            </w:r>
          </w:p>
          <w:p w:rsidR="00AE244B" w:rsidRDefault="00AC698C">
            <w:pPr>
              <w:pStyle w:val="B4"/>
              <w:ind w:leftChars="600" w:left="1660" w:hanging="400"/>
            </w:pPr>
            <w:r>
              <w:t>4&gt;</w:t>
            </w:r>
            <w:r>
              <w:tab/>
              <w:t xml:space="preserve">store measurement results for cells applicable for idle mode measurement reporting within the </w:t>
            </w:r>
            <w:proofErr w:type="spellStart"/>
            <w:r>
              <w:rPr>
                <w:i/>
              </w:rPr>
              <w:t>VarMeasIdleReport</w:t>
            </w:r>
            <w:proofErr w:type="spellEnd"/>
            <w:r>
              <w:t>;</w:t>
            </w:r>
          </w:p>
          <w:p w:rsidR="00AE244B" w:rsidRDefault="00AC698C">
            <w:pPr>
              <w:pStyle w:val="B3"/>
              <w:ind w:leftChars="400" w:left="1240" w:hanging="400"/>
              <w:rPr>
                <w:highlight w:val="cyan"/>
                <w:lang w:val="en-GB"/>
              </w:rPr>
            </w:pPr>
            <w:r>
              <w:rPr>
                <w:highlight w:val="cyan"/>
                <w:lang w:val="en-GB"/>
              </w:rPr>
              <w:t>3&gt;</w:t>
            </w:r>
            <w:r>
              <w:rPr>
                <w:highlight w:val="cyan"/>
                <w:lang w:val="en-GB"/>
              </w:rPr>
              <w:tab/>
              <w:t>else:</w:t>
            </w:r>
          </w:p>
          <w:p w:rsidR="00AE244B" w:rsidRDefault="00AC698C">
            <w:pPr>
              <w:pStyle w:val="B4"/>
              <w:ind w:leftChars="600" w:left="1660" w:hanging="400"/>
              <w:rPr>
                <w:color w:val="0000FF"/>
                <w:lang w:val="en-US"/>
              </w:rPr>
            </w:pPr>
            <w:r>
              <w:rPr>
                <w:highlight w:val="cyan"/>
              </w:rPr>
              <w:t>4&gt;</w:t>
            </w:r>
            <w:r>
              <w:rPr>
                <w:highlight w:val="cyan"/>
              </w:rPr>
              <w:tab/>
              <w:t>do not consider the carrier frequency to be applicable for idle mode measurement reporting;</w:t>
            </w:r>
          </w:p>
        </w:tc>
      </w:tr>
    </w:tbl>
    <w:p w:rsidR="00AE244B" w:rsidRDefault="00AC698C">
      <w:pPr>
        <w:numPr>
          <w:ilvl w:val="0"/>
          <w:numId w:val="4"/>
        </w:numPr>
        <w:ind w:left="1665" w:hanging="1665"/>
        <w:rPr>
          <w:b/>
          <w:bCs/>
          <w:szCs w:val="21"/>
        </w:rPr>
      </w:pPr>
      <w:r>
        <w:rPr>
          <w:b/>
          <w:bCs/>
          <w:szCs w:val="21"/>
        </w:rPr>
        <w:lastRenderedPageBreak/>
        <w:t>In LT</w:t>
      </w:r>
      <w:r>
        <w:rPr>
          <w:b/>
          <w:bCs/>
          <w:szCs w:val="21"/>
        </w:rPr>
        <w:t xml:space="preserve">E </w:t>
      </w:r>
      <w:proofErr w:type="spellStart"/>
      <w:r>
        <w:rPr>
          <w:b/>
          <w:bCs/>
          <w:szCs w:val="21"/>
        </w:rPr>
        <w:t>euCA</w:t>
      </w:r>
      <w:proofErr w:type="spellEnd"/>
      <w:r>
        <w:rPr>
          <w:b/>
          <w:bCs/>
          <w:szCs w:val="21"/>
        </w:rPr>
        <w:t xml:space="preserve">, </w:t>
      </w:r>
      <w:r w:rsidR="0076549F">
        <w:rPr>
          <w:b/>
          <w:bCs/>
          <w:szCs w:val="21"/>
        </w:rPr>
        <w:t xml:space="preserve">the </w:t>
      </w:r>
      <w:r>
        <w:rPr>
          <w:b/>
          <w:bCs/>
          <w:szCs w:val="21"/>
        </w:rPr>
        <w:t xml:space="preserve">UE is only required to perform early measurement on a carrier frequency with which it can support CA operation </w:t>
      </w:r>
      <w:r w:rsidR="00E70F61">
        <w:rPr>
          <w:b/>
          <w:bCs/>
          <w:szCs w:val="21"/>
        </w:rPr>
        <w:t>with</w:t>
      </w:r>
      <w:r>
        <w:rPr>
          <w:b/>
          <w:bCs/>
          <w:szCs w:val="21"/>
        </w:rPr>
        <w:t xml:space="preserve"> its serving carrier.</w:t>
      </w:r>
    </w:p>
    <w:p w:rsidR="00AE244B" w:rsidRDefault="00AC698C">
      <w:pPr>
        <w:rPr>
          <w:szCs w:val="21"/>
        </w:rPr>
      </w:pPr>
      <w:r>
        <w:rPr>
          <w:rFonts w:hint="eastAsia"/>
          <w:szCs w:val="21"/>
        </w:rPr>
        <w:t>In order</w:t>
      </w:r>
      <w:r>
        <w:rPr>
          <w:szCs w:val="21"/>
        </w:rPr>
        <w:t xml:space="preserve"> </w:t>
      </w:r>
      <w:r>
        <w:rPr>
          <w:rFonts w:hint="eastAsia"/>
          <w:szCs w:val="21"/>
        </w:rPr>
        <w:t xml:space="preserve">to </w:t>
      </w:r>
      <w:r w:rsidR="008E5A47">
        <w:rPr>
          <w:szCs w:val="21"/>
        </w:rPr>
        <w:t>reduce</w:t>
      </w:r>
      <w:r>
        <w:rPr>
          <w:rFonts w:hint="eastAsia"/>
          <w:szCs w:val="21"/>
        </w:rPr>
        <w:t xml:space="preserve"> power consumption, </w:t>
      </w:r>
      <w:r w:rsidR="008E5A47">
        <w:rPr>
          <w:szCs w:val="21"/>
        </w:rPr>
        <w:t>a</w:t>
      </w:r>
      <w:r>
        <w:rPr>
          <w:rFonts w:hint="eastAsia"/>
          <w:szCs w:val="21"/>
        </w:rPr>
        <w:t xml:space="preserve"> similar approach can be considered in NR as well. In addition, </w:t>
      </w:r>
      <w:r w:rsidR="008E5A47">
        <w:rPr>
          <w:szCs w:val="21"/>
        </w:rPr>
        <w:t>considering that the</w:t>
      </w:r>
      <w:r>
        <w:rPr>
          <w:rFonts w:hint="eastAsia"/>
          <w:szCs w:val="21"/>
        </w:rPr>
        <w:t xml:space="preserve"> WID </w:t>
      </w:r>
      <w:r>
        <w:rPr>
          <w:szCs w:val="21"/>
        </w:rPr>
        <w:t>objective</w:t>
      </w:r>
      <w:r w:rsidR="008E5A47">
        <w:rPr>
          <w:rFonts w:hint="eastAsia"/>
          <w:szCs w:val="21"/>
        </w:rPr>
        <w:t xml:space="preserve"> </w:t>
      </w:r>
      <w:r w:rsidR="008E5A47">
        <w:rPr>
          <w:szCs w:val="21"/>
        </w:rPr>
        <w:t>for</w:t>
      </w:r>
      <w:r>
        <w:rPr>
          <w:rFonts w:hint="eastAsia"/>
          <w:szCs w:val="21"/>
        </w:rPr>
        <w:t xml:space="preserve"> early measurement</w:t>
      </w:r>
      <w:r>
        <w:rPr>
          <w:szCs w:val="21"/>
        </w:rPr>
        <w:t xml:space="preserve"> applies to MR-DC, NR-NR DC and CA</w:t>
      </w:r>
      <w:r>
        <w:rPr>
          <w:rFonts w:hint="eastAsia"/>
          <w:szCs w:val="21"/>
        </w:rPr>
        <w:t>, all the MR-DC, NR-NR DC and CA shall be taken into account.</w:t>
      </w:r>
    </w:p>
    <w:p w:rsidR="00AE244B" w:rsidRDefault="00EC7810">
      <w:pPr>
        <w:numPr>
          <w:ilvl w:val="0"/>
          <w:numId w:val="5"/>
        </w:numPr>
        <w:rPr>
          <w:b/>
          <w:bCs/>
          <w:szCs w:val="21"/>
        </w:rPr>
      </w:pPr>
      <w:r>
        <w:rPr>
          <w:b/>
          <w:bCs/>
          <w:szCs w:val="21"/>
        </w:rPr>
        <w:t xml:space="preserve">The </w:t>
      </w:r>
      <w:r w:rsidR="00AC698C">
        <w:rPr>
          <w:b/>
          <w:bCs/>
          <w:szCs w:val="21"/>
        </w:rPr>
        <w:t>UE is required to perform early measurement on carrier frequency (including both NR carrier and LTE carri</w:t>
      </w:r>
      <w:r w:rsidR="00AC698C">
        <w:rPr>
          <w:b/>
          <w:bCs/>
          <w:szCs w:val="21"/>
        </w:rPr>
        <w:t>er) only if it can support MR-DC, NR-NR DC or CA operation between the current serving cell and the</w:t>
      </w:r>
      <w:r w:rsidR="00AC698C">
        <w:rPr>
          <w:rFonts w:hint="eastAsia"/>
          <w:b/>
          <w:bCs/>
          <w:szCs w:val="21"/>
        </w:rPr>
        <w:t xml:space="preserve"> </w:t>
      </w:r>
      <w:r w:rsidR="00AC698C">
        <w:rPr>
          <w:b/>
          <w:bCs/>
          <w:szCs w:val="21"/>
        </w:rPr>
        <w:t xml:space="preserve">carrier frequency. </w:t>
      </w:r>
    </w:p>
    <w:p w:rsidR="00AE244B" w:rsidRDefault="00CC3799">
      <w:pPr>
        <w:rPr>
          <w:szCs w:val="21"/>
        </w:rPr>
      </w:pPr>
      <w:r>
        <w:rPr>
          <w:szCs w:val="21"/>
        </w:rPr>
        <w:t>In case the UE camps</w:t>
      </w:r>
      <w:r w:rsidR="00AC698C">
        <w:rPr>
          <w:szCs w:val="21"/>
        </w:rPr>
        <w:t xml:space="preserve"> on </w:t>
      </w:r>
      <w:r>
        <w:rPr>
          <w:szCs w:val="21"/>
        </w:rPr>
        <w:t xml:space="preserve">an </w:t>
      </w:r>
      <w:r w:rsidR="00AC698C">
        <w:rPr>
          <w:szCs w:val="21"/>
        </w:rPr>
        <w:t xml:space="preserve">NR serving cell and E-UTRA carrier frequency are configured for early measurement, it is </w:t>
      </w:r>
      <w:r w:rsidR="00AC698C">
        <w:rPr>
          <w:rFonts w:hint="eastAsia"/>
          <w:szCs w:val="21"/>
        </w:rPr>
        <w:t xml:space="preserve">clear that </w:t>
      </w:r>
      <w:r>
        <w:rPr>
          <w:szCs w:val="21"/>
        </w:rPr>
        <w:t xml:space="preserve">the </w:t>
      </w:r>
      <w:r w:rsidR="00AC698C">
        <w:rPr>
          <w:szCs w:val="21"/>
        </w:rPr>
        <w:t xml:space="preserve">UE </w:t>
      </w:r>
      <w:r w:rsidR="00AC698C">
        <w:rPr>
          <w:rFonts w:hint="eastAsia"/>
          <w:szCs w:val="21"/>
        </w:rPr>
        <w:t xml:space="preserve">should </w:t>
      </w:r>
      <w:r w:rsidR="00AC698C">
        <w:rPr>
          <w:szCs w:val="21"/>
        </w:rPr>
        <w:t xml:space="preserve">determine whether to perform measurement on </w:t>
      </w:r>
      <w:r w:rsidR="00AC698C">
        <w:rPr>
          <w:rFonts w:hint="eastAsia"/>
          <w:szCs w:val="21"/>
        </w:rPr>
        <w:t>the LTE carrier</w:t>
      </w:r>
      <w:r w:rsidR="00AC698C">
        <w:rPr>
          <w:szCs w:val="21"/>
        </w:rPr>
        <w:t xml:space="preserve"> frequency </w:t>
      </w:r>
      <w:r w:rsidR="00AC698C">
        <w:rPr>
          <w:rFonts w:hint="eastAsia"/>
          <w:szCs w:val="21"/>
        </w:rPr>
        <w:t xml:space="preserve">based on the band combination supported for NE-DC. </w:t>
      </w:r>
    </w:p>
    <w:p w:rsidR="00AE244B" w:rsidRDefault="00AC698C">
      <w:pPr>
        <w:rPr>
          <w:szCs w:val="21"/>
        </w:rPr>
      </w:pPr>
      <w:r>
        <w:rPr>
          <w:rFonts w:hint="eastAsia"/>
          <w:szCs w:val="21"/>
        </w:rPr>
        <w:t xml:space="preserve">However, for </w:t>
      </w:r>
      <w:r w:rsidR="00CC3799">
        <w:rPr>
          <w:szCs w:val="21"/>
        </w:rPr>
        <w:t>th</w:t>
      </w:r>
      <w:r>
        <w:rPr>
          <w:rFonts w:hint="eastAsia"/>
          <w:szCs w:val="21"/>
        </w:rPr>
        <w:t xml:space="preserve">e case </w:t>
      </w:r>
      <w:r w:rsidR="00CC3799">
        <w:rPr>
          <w:szCs w:val="21"/>
        </w:rPr>
        <w:t>where the</w:t>
      </w:r>
      <w:r w:rsidR="00CC3799">
        <w:rPr>
          <w:rFonts w:hint="eastAsia"/>
          <w:szCs w:val="21"/>
        </w:rPr>
        <w:t xml:space="preserve"> UE is c</w:t>
      </w:r>
      <w:r w:rsidR="00CC3799">
        <w:rPr>
          <w:szCs w:val="21"/>
        </w:rPr>
        <w:t>a</w:t>
      </w:r>
      <w:r>
        <w:rPr>
          <w:rFonts w:hint="eastAsia"/>
          <w:szCs w:val="21"/>
        </w:rPr>
        <w:t>mp</w:t>
      </w:r>
      <w:r w:rsidR="00CC3799">
        <w:rPr>
          <w:szCs w:val="21"/>
        </w:rPr>
        <w:t>s</w:t>
      </w:r>
      <w:r>
        <w:rPr>
          <w:rFonts w:hint="eastAsia"/>
          <w:szCs w:val="21"/>
        </w:rPr>
        <w:t xml:space="preserve"> on </w:t>
      </w:r>
      <w:r w:rsidR="00CC3799">
        <w:rPr>
          <w:szCs w:val="21"/>
        </w:rPr>
        <w:t xml:space="preserve">an </w:t>
      </w:r>
      <w:r>
        <w:rPr>
          <w:rFonts w:hint="eastAsia"/>
          <w:szCs w:val="21"/>
        </w:rPr>
        <w:t>NR serving cell and NR carrier frequency are configured for early measurement, the f</w:t>
      </w:r>
      <w:r>
        <w:rPr>
          <w:rFonts w:hint="eastAsia"/>
          <w:szCs w:val="21"/>
        </w:rPr>
        <w:t>ollowing cases may exist:</w:t>
      </w:r>
    </w:p>
    <w:p w:rsidR="00AE244B" w:rsidRDefault="00AC698C">
      <w:pPr>
        <w:numPr>
          <w:ilvl w:val="0"/>
          <w:numId w:val="6"/>
        </w:numPr>
        <w:rPr>
          <w:szCs w:val="21"/>
        </w:rPr>
      </w:pPr>
      <w:r>
        <w:rPr>
          <w:rFonts w:hint="eastAsia"/>
          <w:szCs w:val="21"/>
        </w:rPr>
        <w:t>Ca</w:t>
      </w:r>
      <w:r w:rsidR="00CC3799">
        <w:rPr>
          <w:rFonts w:hint="eastAsia"/>
          <w:szCs w:val="21"/>
        </w:rPr>
        <w:t xml:space="preserve">se 1: Only CA is supported by </w:t>
      </w:r>
      <w:r w:rsidR="00CC3799">
        <w:rPr>
          <w:szCs w:val="21"/>
        </w:rPr>
        <w:t>the network</w:t>
      </w:r>
      <w:r>
        <w:rPr>
          <w:rFonts w:hint="eastAsia"/>
          <w:szCs w:val="21"/>
        </w:rPr>
        <w:t xml:space="preserve"> between </w:t>
      </w:r>
      <w:r w:rsidR="00CC3799">
        <w:rPr>
          <w:szCs w:val="21"/>
        </w:rPr>
        <w:t xml:space="preserve">the </w:t>
      </w:r>
      <w:r>
        <w:rPr>
          <w:rFonts w:hint="eastAsia"/>
          <w:szCs w:val="21"/>
        </w:rPr>
        <w:t>current camped serving cell and NR carrier frequency for early measurement</w:t>
      </w:r>
    </w:p>
    <w:p w:rsidR="00AE244B" w:rsidRDefault="00AC698C">
      <w:pPr>
        <w:numPr>
          <w:ilvl w:val="0"/>
          <w:numId w:val="6"/>
        </w:numPr>
        <w:rPr>
          <w:szCs w:val="21"/>
        </w:rPr>
      </w:pPr>
      <w:r>
        <w:rPr>
          <w:rFonts w:hint="eastAsia"/>
          <w:szCs w:val="21"/>
        </w:rPr>
        <w:t>Ca</w:t>
      </w:r>
      <w:r w:rsidR="00CC3799">
        <w:rPr>
          <w:rFonts w:hint="eastAsia"/>
          <w:szCs w:val="21"/>
        </w:rPr>
        <w:t xml:space="preserve">se 2: Only DC is supported by </w:t>
      </w:r>
      <w:r w:rsidR="00CC3799">
        <w:rPr>
          <w:szCs w:val="21"/>
        </w:rPr>
        <w:t>the network</w:t>
      </w:r>
      <w:r>
        <w:rPr>
          <w:rFonts w:hint="eastAsia"/>
          <w:szCs w:val="21"/>
        </w:rPr>
        <w:t xml:space="preserve"> between </w:t>
      </w:r>
      <w:r w:rsidR="00CC3799">
        <w:rPr>
          <w:szCs w:val="21"/>
        </w:rPr>
        <w:t xml:space="preserve">the </w:t>
      </w:r>
      <w:r>
        <w:rPr>
          <w:rFonts w:hint="eastAsia"/>
          <w:szCs w:val="21"/>
        </w:rPr>
        <w:t xml:space="preserve">current camped serving cell and NR carrier frequency for early </w:t>
      </w:r>
      <w:r>
        <w:rPr>
          <w:rFonts w:hint="eastAsia"/>
          <w:szCs w:val="21"/>
        </w:rPr>
        <w:t>measurement</w:t>
      </w:r>
    </w:p>
    <w:p w:rsidR="00AE244B" w:rsidRDefault="00CC3799">
      <w:pPr>
        <w:numPr>
          <w:ilvl w:val="0"/>
          <w:numId w:val="6"/>
        </w:numPr>
        <w:rPr>
          <w:szCs w:val="21"/>
        </w:rPr>
      </w:pPr>
      <w:r>
        <w:rPr>
          <w:rFonts w:hint="eastAsia"/>
          <w:szCs w:val="21"/>
        </w:rPr>
        <w:t xml:space="preserve">Case 3: Both CA and DC </w:t>
      </w:r>
      <w:r>
        <w:rPr>
          <w:szCs w:val="21"/>
        </w:rPr>
        <w:t>are</w:t>
      </w:r>
      <w:r>
        <w:rPr>
          <w:rFonts w:hint="eastAsia"/>
          <w:szCs w:val="21"/>
        </w:rPr>
        <w:t xml:space="preserve"> supported by </w:t>
      </w:r>
      <w:r>
        <w:rPr>
          <w:szCs w:val="21"/>
        </w:rPr>
        <w:t>the network</w:t>
      </w:r>
      <w:r w:rsidR="00AC698C">
        <w:rPr>
          <w:rFonts w:hint="eastAsia"/>
          <w:szCs w:val="21"/>
        </w:rPr>
        <w:t xml:space="preserve"> between </w:t>
      </w:r>
      <w:r>
        <w:rPr>
          <w:szCs w:val="21"/>
        </w:rPr>
        <w:t xml:space="preserve">the </w:t>
      </w:r>
      <w:r w:rsidR="00AC698C">
        <w:rPr>
          <w:rFonts w:hint="eastAsia"/>
          <w:szCs w:val="21"/>
        </w:rPr>
        <w:t>current camped serving cell and NR carrier frequency for early measurement</w:t>
      </w:r>
    </w:p>
    <w:p w:rsidR="00AE244B" w:rsidRDefault="00AC698C">
      <w:pPr>
        <w:rPr>
          <w:szCs w:val="21"/>
        </w:rPr>
      </w:pPr>
      <w:r>
        <w:rPr>
          <w:rFonts w:hint="eastAsia"/>
          <w:szCs w:val="21"/>
        </w:rPr>
        <w:lastRenderedPageBreak/>
        <w:t>Due to the lack</w:t>
      </w:r>
      <w:r w:rsidR="004639CF">
        <w:rPr>
          <w:rFonts w:hint="eastAsia"/>
          <w:szCs w:val="21"/>
        </w:rPr>
        <w:t xml:space="preserve"> of information/capability on </w:t>
      </w:r>
      <w:r w:rsidR="004639CF">
        <w:rPr>
          <w:szCs w:val="21"/>
        </w:rPr>
        <w:t>the network</w:t>
      </w:r>
      <w:r>
        <w:rPr>
          <w:rFonts w:hint="eastAsia"/>
          <w:szCs w:val="21"/>
        </w:rPr>
        <w:t xml:space="preserve"> side, it is difficult for the UE to determine which capability (e.g. ba</w:t>
      </w:r>
      <w:r>
        <w:rPr>
          <w:rFonts w:hint="eastAsia"/>
          <w:szCs w:val="21"/>
        </w:rPr>
        <w:t>nd combination for CA or DC) shall be used to determine whether t</w:t>
      </w:r>
      <w:r w:rsidR="004639CF">
        <w:rPr>
          <w:rFonts w:hint="eastAsia"/>
          <w:szCs w:val="21"/>
        </w:rPr>
        <w:t>he early measurement shall be p</w:t>
      </w:r>
      <w:r>
        <w:rPr>
          <w:rFonts w:hint="eastAsia"/>
          <w:szCs w:val="21"/>
        </w:rPr>
        <w:t>e</w:t>
      </w:r>
      <w:r w:rsidR="004639CF">
        <w:rPr>
          <w:szCs w:val="21"/>
        </w:rPr>
        <w:t>r</w:t>
      </w:r>
      <w:r>
        <w:rPr>
          <w:rFonts w:hint="eastAsia"/>
          <w:szCs w:val="21"/>
        </w:rPr>
        <w:t>formed on the NR carrier frequency or not.</w:t>
      </w:r>
    </w:p>
    <w:p w:rsidR="00AE244B" w:rsidRDefault="00AC698C">
      <w:pPr>
        <w:rPr>
          <w:szCs w:val="21"/>
        </w:rPr>
      </w:pPr>
      <w:r>
        <w:rPr>
          <w:szCs w:val="21"/>
        </w:rPr>
        <w:t xml:space="preserve">If </w:t>
      </w:r>
      <w:r w:rsidR="004639CF">
        <w:rPr>
          <w:szCs w:val="21"/>
        </w:rPr>
        <w:t xml:space="preserve">the </w:t>
      </w:r>
      <w:r>
        <w:rPr>
          <w:szCs w:val="21"/>
        </w:rPr>
        <w:t>UE’s supported band combination</w:t>
      </w:r>
      <w:r w:rsidR="004639CF">
        <w:rPr>
          <w:szCs w:val="21"/>
        </w:rPr>
        <w:t>s</w:t>
      </w:r>
      <w:r>
        <w:rPr>
          <w:szCs w:val="21"/>
        </w:rPr>
        <w:t xml:space="preserve"> for NR CA and NR DC are the same, there is no need to differentiate </w:t>
      </w:r>
      <w:r w:rsidR="004639CF">
        <w:rPr>
          <w:szCs w:val="21"/>
        </w:rPr>
        <w:t xml:space="preserve">the </w:t>
      </w:r>
      <w:r>
        <w:rPr>
          <w:szCs w:val="21"/>
        </w:rPr>
        <w:t>UE behavior,</w:t>
      </w:r>
      <w:r w:rsidR="004639CF">
        <w:rPr>
          <w:szCs w:val="21"/>
        </w:rPr>
        <w:t xml:space="preserve"> </w:t>
      </w:r>
      <w:r>
        <w:rPr>
          <w:szCs w:val="21"/>
        </w:rPr>
        <w:t xml:space="preserve">and </w:t>
      </w:r>
      <w:r w:rsidR="004639CF">
        <w:rPr>
          <w:szCs w:val="21"/>
        </w:rPr>
        <w:t>the network can decide</w:t>
      </w:r>
      <w:r>
        <w:rPr>
          <w:szCs w:val="21"/>
        </w:rPr>
        <w:t xml:space="preserve"> whether CA or DC can be configured</w:t>
      </w:r>
      <w:r>
        <w:rPr>
          <w:rFonts w:hint="eastAsia"/>
          <w:szCs w:val="21"/>
        </w:rPr>
        <w:t xml:space="preserve"> accord</w:t>
      </w:r>
      <w:r w:rsidR="004639CF">
        <w:rPr>
          <w:rFonts w:hint="eastAsia"/>
          <w:szCs w:val="21"/>
        </w:rPr>
        <w:t xml:space="preserve">ing to both UE capability and </w:t>
      </w:r>
      <w:r w:rsidR="004639CF">
        <w:rPr>
          <w:szCs w:val="21"/>
        </w:rPr>
        <w:t>network</w:t>
      </w:r>
      <w:r>
        <w:rPr>
          <w:rFonts w:hint="eastAsia"/>
          <w:szCs w:val="21"/>
        </w:rPr>
        <w:t xml:space="preserve"> deployment</w:t>
      </w:r>
      <w:r>
        <w:rPr>
          <w:szCs w:val="21"/>
        </w:rPr>
        <w:t>.</w:t>
      </w:r>
    </w:p>
    <w:p w:rsidR="00AE244B" w:rsidRDefault="00AC698C">
      <w:pPr>
        <w:rPr>
          <w:szCs w:val="21"/>
        </w:rPr>
      </w:pPr>
      <w:r>
        <w:rPr>
          <w:szCs w:val="21"/>
        </w:rPr>
        <w:t xml:space="preserve">However, we cannot assume </w:t>
      </w:r>
      <w:r w:rsidR="004639CF">
        <w:rPr>
          <w:szCs w:val="21"/>
        </w:rPr>
        <w:t xml:space="preserve">the </w:t>
      </w:r>
      <w:r>
        <w:rPr>
          <w:szCs w:val="21"/>
        </w:rPr>
        <w:t>UE support</w:t>
      </w:r>
      <w:r w:rsidR="004639CF">
        <w:rPr>
          <w:szCs w:val="21"/>
        </w:rPr>
        <w:t>ed</w:t>
      </w:r>
      <w:r>
        <w:rPr>
          <w:szCs w:val="21"/>
        </w:rPr>
        <w:t xml:space="preserve"> band combination</w:t>
      </w:r>
      <w:r w:rsidR="004639CF">
        <w:rPr>
          <w:szCs w:val="21"/>
        </w:rPr>
        <w:t>s</w:t>
      </w:r>
      <w:r>
        <w:rPr>
          <w:szCs w:val="21"/>
        </w:rPr>
        <w:t xml:space="preserve"> for NR CA and NR DC are the same. If </w:t>
      </w:r>
      <w:r w:rsidR="004639CF">
        <w:rPr>
          <w:szCs w:val="21"/>
        </w:rPr>
        <w:t xml:space="preserve">the </w:t>
      </w:r>
      <w:r>
        <w:rPr>
          <w:szCs w:val="21"/>
        </w:rPr>
        <w:t>UE follow</w:t>
      </w:r>
      <w:r w:rsidR="004639CF">
        <w:rPr>
          <w:szCs w:val="21"/>
        </w:rPr>
        <w:t>s</w:t>
      </w:r>
      <w:r>
        <w:rPr>
          <w:szCs w:val="21"/>
        </w:rPr>
        <w:t xml:space="preserve"> a rule like </w:t>
      </w:r>
      <w:r w:rsidRPr="0068477C">
        <w:rPr>
          <w:szCs w:val="21"/>
        </w:rPr>
        <w:t xml:space="preserve">“if </w:t>
      </w:r>
      <w:r w:rsidR="005C2BE2">
        <w:rPr>
          <w:szCs w:val="21"/>
        </w:rPr>
        <w:t xml:space="preserve">the </w:t>
      </w:r>
      <w:r w:rsidRPr="0068477C">
        <w:rPr>
          <w:szCs w:val="21"/>
        </w:rPr>
        <w:t>UE can support either NR CA</w:t>
      </w:r>
      <w:r w:rsidRPr="0068477C">
        <w:rPr>
          <w:szCs w:val="21"/>
        </w:rPr>
        <w:t xml:space="preserve"> or NR DC configuration between serving cell and a NR carrier frequency, it perform</w:t>
      </w:r>
      <w:r w:rsidR="005C2BE2">
        <w:rPr>
          <w:szCs w:val="21"/>
        </w:rPr>
        <w:t>s</w:t>
      </w:r>
      <w:r w:rsidRPr="0068477C">
        <w:rPr>
          <w:szCs w:val="21"/>
        </w:rPr>
        <w:t xml:space="preserve"> early measurement on the NR carrier frequency</w:t>
      </w:r>
      <w:r w:rsidRPr="0068477C">
        <w:rPr>
          <w:szCs w:val="21"/>
        </w:rPr>
        <w:t>”</w:t>
      </w:r>
      <w:r>
        <w:rPr>
          <w:szCs w:val="21"/>
        </w:rPr>
        <w:t>, there is possibility that the early measurement results are useless,</w:t>
      </w:r>
      <w:r>
        <w:rPr>
          <w:rFonts w:hint="eastAsia"/>
          <w:szCs w:val="21"/>
        </w:rPr>
        <w:t xml:space="preserve"> e.g. </w:t>
      </w:r>
      <w:r>
        <w:rPr>
          <w:szCs w:val="21"/>
        </w:rPr>
        <w:t xml:space="preserve">when </w:t>
      </w:r>
      <w:r w:rsidR="005C2BE2">
        <w:rPr>
          <w:szCs w:val="21"/>
        </w:rPr>
        <w:t xml:space="preserve">the </w:t>
      </w:r>
      <w:r>
        <w:rPr>
          <w:szCs w:val="21"/>
        </w:rPr>
        <w:t>UE can only support CA while network can only</w:t>
      </w:r>
      <w:r>
        <w:rPr>
          <w:szCs w:val="21"/>
        </w:rPr>
        <w:t xml:space="preserve"> support DC</w:t>
      </w:r>
      <w:r>
        <w:rPr>
          <w:rFonts w:hint="eastAsia"/>
          <w:szCs w:val="21"/>
        </w:rPr>
        <w:t xml:space="preserve"> </w:t>
      </w:r>
      <w:r>
        <w:rPr>
          <w:szCs w:val="21"/>
        </w:rPr>
        <w:t xml:space="preserve">configuration between </w:t>
      </w:r>
      <w:r w:rsidR="005C2BE2">
        <w:rPr>
          <w:szCs w:val="21"/>
        </w:rPr>
        <w:t xml:space="preserve">the </w:t>
      </w:r>
      <w:r>
        <w:rPr>
          <w:szCs w:val="21"/>
        </w:rPr>
        <w:t xml:space="preserve">UE’s serving </w:t>
      </w:r>
      <w:r>
        <w:rPr>
          <w:rFonts w:hint="eastAsia"/>
          <w:szCs w:val="21"/>
        </w:rPr>
        <w:t xml:space="preserve">cell </w:t>
      </w:r>
      <w:r>
        <w:rPr>
          <w:szCs w:val="21"/>
        </w:rPr>
        <w:t>and the NR carrier frequency.</w:t>
      </w:r>
    </w:p>
    <w:p w:rsidR="00AE244B" w:rsidRDefault="00AC698C">
      <w:pPr>
        <w:rPr>
          <w:szCs w:val="21"/>
        </w:rPr>
      </w:pPr>
      <w:r>
        <w:rPr>
          <w:szCs w:val="21"/>
        </w:rPr>
        <w:t xml:space="preserve">Thus, it is meaningful to </w:t>
      </w:r>
      <w:r>
        <w:rPr>
          <w:rFonts w:hint="eastAsia"/>
          <w:szCs w:val="21"/>
        </w:rPr>
        <w:t xml:space="preserve">indicate </w:t>
      </w:r>
      <w:r>
        <w:rPr>
          <w:szCs w:val="21"/>
        </w:rPr>
        <w:t xml:space="preserve">the applicability of a NR carrier frequency to </w:t>
      </w:r>
      <w:r w:rsidR="005C2BE2">
        <w:rPr>
          <w:szCs w:val="21"/>
        </w:rPr>
        <w:t xml:space="preserve">the </w:t>
      </w:r>
      <w:r>
        <w:rPr>
          <w:szCs w:val="21"/>
        </w:rPr>
        <w:t>UE, i.e. indicating whether a carrier frequency can support NR CA or NR DC with current serv</w:t>
      </w:r>
      <w:r>
        <w:rPr>
          <w:szCs w:val="21"/>
        </w:rPr>
        <w:t xml:space="preserve">ing cell. </w:t>
      </w:r>
      <w:r w:rsidR="005C2BE2">
        <w:rPr>
          <w:szCs w:val="21"/>
        </w:rPr>
        <w:t xml:space="preserve">The </w:t>
      </w:r>
      <w:r>
        <w:rPr>
          <w:szCs w:val="21"/>
        </w:rPr>
        <w:t xml:space="preserve">UE decides whether to perform measurement on this carrier </w:t>
      </w:r>
      <w:r>
        <w:rPr>
          <w:rFonts w:hint="eastAsia"/>
          <w:szCs w:val="21"/>
        </w:rPr>
        <w:t xml:space="preserve">frequency </w:t>
      </w:r>
      <w:r>
        <w:rPr>
          <w:szCs w:val="21"/>
        </w:rPr>
        <w:t>according to both this applicability information and its own capability. With this approach, unnecessary early measurement can be avoid</w:t>
      </w:r>
      <w:r w:rsidR="005C2BE2">
        <w:rPr>
          <w:szCs w:val="21"/>
        </w:rPr>
        <w:t>ed</w:t>
      </w:r>
      <w:r>
        <w:rPr>
          <w:szCs w:val="21"/>
        </w:rPr>
        <w:t xml:space="preserve"> to save UE power.</w:t>
      </w:r>
    </w:p>
    <w:p w:rsidR="00AE244B" w:rsidRDefault="000E6A56">
      <w:pPr>
        <w:numPr>
          <w:ilvl w:val="0"/>
          <w:numId w:val="5"/>
        </w:numPr>
        <w:ind w:left="1245" w:hanging="1245"/>
        <w:rPr>
          <w:b/>
          <w:bCs/>
          <w:szCs w:val="21"/>
        </w:rPr>
      </w:pPr>
      <w:r>
        <w:rPr>
          <w:b/>
          <w:bCs/>
          <w:szCs w:val="21"/>
        </w:rPr>
        <w:t>For each</w:t>
      </w:r>
      <w:r w:rsidR="00AC698C">
        <w:rPr>
          <w:b/>
          <w:bCs/>
          <w:szCs w:val="21"/>
        </w:rPr>
        <w:t xml:space="preserve"> NR carrier frequ</w:t>
      </w:r>
      <w:r w:rsidR="00AC698C">
        <w:rPr>
          <w:b/>
          <w:bCs/>
          <w:szCs w:val="21"/>
        </w:rPr>
        <w:t xml:space="preserve">ency configured for early measurement, the UE shall be able to identify </w:t>
      </w:r>
      <w:r w:rsidR="00AC698C">
        <w:rPr>
          <w:b/>
          <w:bCs/>
          <w:szCs w:val="21"/>
        </w:rPr>
        <w:t>with which f</w:t>
      </w:r>
      <w:r>
        <w:rPr>
          <w:b/>
          <w:bCs/>
          <w:szCs w:val="21"/>
        </w:rPr>
        <w:t>eature</w:t>
      </w:r>
      <w:r w:rsidR="00AC698C">
        <w:rPr>
          <w:b/>
          <w:bCs/>
          <w:szCs w:val="21"/>
        </w:rPr>
        <w:t xml:space="preserve"> (i.e. CA, DC or both) the NR carrier frequency can work together with the </w:t>
      </w:r>
      <w:r w:rsidR="00AC698C">
        <w:rPr>
          <w:b/>
          <w:bCs/>
          <w:szCs w:val="21"/>
        </w:rPr>
        <w:t>serving cell</w:t>
      </w:r>
      <w:r>
        <w:rPr>
          <w:b/>
          <w:bCs/>
          <w:szCs w:val="21"/>
        </w:rPr>
        <w:t xml:space="preserve"> where the UE is camping</w:t>
      </w:r>
      <w:r w:rsidR="00AC698C">
        <w:rPr>
          <w:b/>
          <w:bCs/>
          <w:szCs w:val="21"/>
        </w:rPr>
        <w:t>. And the</w:t>
      </w:r>
      <w:r>
        <w:rPr>
          <w:b/>
          <w:bCs/>
          <w:szCs w:val="21"/>
        </w:rPr>
        <w:t xml:space="preserve"> UE will determine whether to p</w:t>
      </w:r>
      <w:r w:rsidR="00AC698C">
        <w:rPr>
          <w:b/>
          <w:bCs/>
          <w:szCs w:val="21"/>
        </w:rPr>
        <w:t>e</w:t>
      </w:r>
      <w:r>
        <w:rPr>
          <w:b/>
          <w:bCs/>
          <w:szCs w:val="21"/>
        </w:rPr>
        <w:t>r</w:t>
      </w:r>
      <w:r w:rsidR="00AC698C">
        <w:rPr>
          <w:b/>
          <w:bCs/>
          <w:szCs w:val="21"/>
        </w:rPr>
        <w:t>form early measu</w:t>
      </w:r>
      <w:r w:rsidR="00AC698C">
        <w:rPr>
          <w:b/>
          <w:bCs/>
          <w:szCs w:val="21"/>
        </w:rPr>
        <w:t xml:space="preserve">rement on the NR carrier </w:t>
      </w:r>
      <w:r>
        <w:rPr>
          <w:b/>
          <w:bCs/>
          <w:szCs w:val="21"/>
        </w:rPr>
        <w:t xml:space="preserve">or not </w:t>
      </w:r>
      <w:r w:rsidR="00AC698C">
        <w:rPr>
          <w:b/>
          <w:bCs/>
          <w:szCs w:val="21"/>
        </w:rPr>
        <w:t xml:space="preserve">based on the </w:t>
      </w:r>
      <w:r>
        <w:rPr>
          <w:b/>
          <w:bCs/>
          <w:szCs w:val="21"/>
        </w:rPr>
        <w:t>corresponding UE capability</w:t>
      </w:r>
      <w:r w:rsidR="00AC698C">
        <w:rPr>
          <w:b/>
          <w:bCs/>
          <w:szCs w:val="21"/>
        </w:rPr>
        <w:t>.</w:t>
      </w:r>
    </w:p>
    <w:p w:rsidR="00AE244B" w:rsidRDefault="00AC698C">
      <w:pPr>
        <w:rPr>
          <w:rStyle w:val="Strong"/>
          <w:rFonts w:eastAsia="SimSun"/>
          <w:b w:val="0"/>
          <w:bCs/>
          <w:color w:val="000000"/>
          <w:szCs w:val="21"/>
          <w:shd w:val="clear" w:color="auto" w:fill="FFFFFF"/>
        </w:rPr>
      </w:pPr>
      <w:r>
        <w:rPr>
          <w:rStyle w:val="Strong"/>
          <w:rFonts w:eastAsia="SimSun"/>
          <w:b w:val="0"/>
          <w:bCs/>
          <w:color w:val="000000"/>
          <w:szCs w:val="21"/>
          <w:shd w:val="clear" w:color="auto" w:fill="FFFFFF"/>
        </w:rPr>
        <w:t>Similarly, in some deployment</w:t>
      </w:r>
      <w:r w:rsidR="000E6A56">
        <w:rPr>
          <w:rStyle w:val="Strong"/>
          <w:rFonts w:eastAsia="SimSun"/>
          <w:b w:val="0"/>
          <w:bCs/>
          <w:color w:val="000000"/>
          <w:szCs w:val="21"/>
          <w:shd w:val="clear" w:color="auto" w:fill="FFFFFF"/>
        </w:rPr>
        <w:t>s</w:t>
      </w:r>
      <w:r>
        <w:rPr>
          <w:rStyle w:val="Strong"/>
          <w:rFonts w:eastAsia="SimSun"/>
          <w:b w:val="0"/>
          <w:bCs/>
          <w:color w:val="000000"/>
          <w:szCs w:val="21"/>
          <w:shd w:val="clear" w:color="auto" w:fill="FFFFFF"/>
        </w:rPr>
        <w:t xml:space="preserve">, cells of the same carrier frequency may be located in different gNB/eNB. Thus from </w:t>
      </w:r>
      <w:r w:rsidR="000E6A56">
        <w:rPr>
          <w:rStyle w:val="Strong"/>
          <w:rFonts w:eastAsia="SimSun"/>
          <w:b w:val="0"/>
          <w:bCs/>
          <w:color w:val="000000"/>
          <w:szCs w:val="21"/>
          <w:shd w:val="clear" w:color="auto" w:fill="FFFFFF"/>
        </w:rPr>
        <w:t xml:space="preserve">a </w:t>
      </w:r>
      <w:r>
        <w:rPr>
          <w:rStyle w:val="Strong"/>
          <w:rFonts w:eastAsia="SimSun"/>
          <w:b w:val="0"/>
          <w:bCs/>
          <w:color w:val="000000"/>
          <w:szCs w:val="21"/>
          <w:shd w:val="clear" w:color="auto" w:fill="FFFFFF"/>
        </w:rPr>
        <w:t xml:space="preserve">network point of view, some of these cells can support NR CA operation with </w:t>
      </w:r>
      <w:r w:rsidR="000E6A56">
        <w:rPr>
          <w:rStyle w:val="Strong"/>
          <w:rFonts w:eastAsia="SimSun"/>
          <w:b w:val="0"/>
          <w:bCs/>
          <w:color w:val="000000"/>
          <w:szCs w:val="21"/>
          <w:shd w:val="clear" w:color="auto" w:fill="FFFFFF"/>
        </w:rPr>
        <w:t xml:space="preserve">the </w:t>
      </w:r>
      <w:r>
        <w:rPr>
          <w:rStyle w:val="Strong"/>
          <w:rFonts w:eastAsia="SimSun"/>
          <w:b w:val="0"/>
          <w:bCs/>
          <w:color w:val="000000"/>
          <w:szCs w:val="21"/>
          <w:shd w:val="clear" w:color="auto" w:fill="FFFFFF"/>
        </w:rPr>
        <w:t>c</w:t>
      </w:r>
      <w:r>
        <w:rPr>
          <w:rStyle w:val="Strong"/>
          <w:rFonts w:eastAsia="SimSun"/>
          <w:b w:val="0"/>
          <w:bCs/>
          <w:color w:val="000000"/>
          <w:szCs w:val="21"/>
          <w:shd w:val="clear" w:color="auto" w:fill="FFFFFF"/>
        </w:rPr>
        <w:t xml:space="preserve">urrent serving cell, and others can </w:t>
      </w:r>
      <w:r w:rsidR="000E6A56">
        <w:rPr>
          <w:rStyle w:val="Strong"/>
          <w:rFonts w:eastAsia="SimSun"/>
          <w:b w:val="0"/>
          <w:bCs/>
          <w:color w:val="000000"/>
          <w:szCs w:val="21"/>
          <w:shd w:val="clear" w:color="auto" w:fill="FFFFFF"/>
        </w:rPr>
        <w:t xml:space="preserve">support </w:t>
      </w:r>
      <w:r>
        <w:rPr>
          <w:rStyle w:val="Strong"/>
          <w:rFonts w:eastAsia="SimSun"/>
          <w:b w:val="0"/>
          <w:bCs/>
          <w:color w:val="000000"/>
          <w:szCs w:val="21"/>
          <w:shd w:val="clear" w:color="auto" w:fill="FFFFFF"/>
        </w:rPr>
        <w:t>DC operation configuration.</w:t>
      </w:r>
    </w:p>
    <w:p w:rsidR="00AE244B" w:rsidRDefault="00AC698C">
      <w:pPr>
        <w:rPr>
          <w:rStyle w:val="Strong"/>
          <w:rFonts w:eastAsia="SimSun"/>
          <w:b w:val="0"/>
          <w:bCs/>
          <w:color w:val="000000"/>
          <w:szCs w:val="21"/>
          <w:shd w:val="clear" w:color="auto" w:fill="FFFFFF"/>
        </w:rPr>
      </w:pPr>
      <w:r>
        <w:rPr>
          <w:rStyle w:val="Strong"/>
          <w:rFonts w:eastAsia="SimSun"/>
          <w:b w:val="0"/>
          <w:bCs/>
          <w:color w:val="000000"/>
          <w:szCs w:val="21"/>
          <w:shd w:val="clear" w:color="auto" w:fill="FFFFFF"/>
        </w:rPr>
        <w:t xml:space="preserve">In LTE </w:t>
      </w:r>
      <w:proofErr w:type="spellStart"/>
      <w:r>
        <w:rPr>
          <w:rStyle w:val="Strong"/>
          <w:rFonts w:eastAsia="SimSun"/>
          <w:b w:val="0"/>
          <w:bCs/>
          <w:color w:val="000000"/>
          <w:szCs w:val="21"/>
          <w:shd w:val="clear" w:color="auto" w:fill="FFFFFF"/>
        </w:rPr>
        <w:t>euCA</w:t>
      </w:r>
      <w:proofErr w:type="spellEnd"/>
      <w:r>
        <w:rPr>
          <w:rStyle w:val="Strong"/>
          <w:rFonts w:eastAsia="SimSun"/>
          <w:b w:val="0"/>
          <w:bCs/>
          <w:color w:val="000000"/>
          <w:szCs w:val="21"/>
          <w:shd w:val="clear" w:color="auto" w:fill="FFFFFF"/>
        </w:rPr>
        <w:t xml:space="preserve">, </w:t>
      </w:r>
      <w:proofErr w:type="spellStart"/>
      <w:r>
        <w:rPr>
          <w:i/>
          <w:szCs w:val="21"/>
          <w:lang w:val="en-GB"/>
        </w:rPr>
        <w:t>measCellList</w:t>
      </w:r>
      <w:proofErr w:type="spellEnd"/>
      <w:r>
        <w:rPr>
          <w:iCs/>
          <w:szCs w:val="21"/>
        </w:rPr>
        <w:t xml:space="preserve"> indicates the cell ID to be applicable for idle mode measurement report. Based on </w:t>
      </w:r>
      <w:r w:rsidR="000E6A56">
        <w:rPr>
          <w:iCs/>
          <w:szCs w:val="21"/>
        </w:rPr>
        <w:t xml:space="preserve">the </w:t>
      </w:r>
      <w:r>
        <w:rPr>
          <w:iCs/>
          <w:szCs w:val="21"/>
        </w:rPr>
        <w:t xml:space="preserve">above analysis, it is meaningful to differentiate this </w:t>
      </w:r>
      <w:proofErr w:type="spellStart"/>
      <w:r>
        <w:rPr>
          <w:i/>
          <w:szCs w:val="21"/>
        </w:rPr>
        <w:t>measCellList</w:t>
      </w:r>
      <w:proofErr w:type="spellEnd"/>
      <w:r>
        <w:rPr>
          <w:i/>
          <w:szCs w:val="21"/>
        </w:rPr>
        <w:t xml:space="preserve"> </w:t>
      </w:r>
      <w:r>
        <w:rPr>
          <w:iCs/>
          <w:szCs w:val="21"/>
        </w:rPr>
        <w:t xml:space="preserve">applicability </w:t>
      </w:r>
      <w:r>
        <w:rPr>
          <w:rFonts w:hint="eastAsia"/>
          <w:iCs/>
          <w:szCs w:val="21"/>
        </w:rPr>
        <w:t>as</w:t>
      </w:r>
      <w:r>
        <w:rPr>
          <w:rFonts w:hint="eastAsia"/>
          <w:iCs/>
          <w:szCs w:val="21"/>
        </w:rPr>
        <w:t xml:space="preserve"> well</w:t>
      </w:r>
      <w:r>
        <w:rPr>
          <w:iCs/>
          <w:szCs w:val="21"/>
        </w:rPr>
        <w:t xml:space="preserve">, if this </w:t>
      </w:r>
      <w:proofErr w:type="spellStart"/>
      <w:r>
        <w:rPr>
          <w:i/>
          <w:szCs w:val="21"/>
        </w:rPr>
        <w:t>meascellList</w:t>
      </w:r>
      <w:proofErr w:type="spellEnd"/>
      <w:r>
        <w:rPr>
          <w:i/>
          <w:szCs w:val="21"/>
        </w:rPr>
        <w:t xml:space="preserve"> </w:t>
      </w:r>
      <w:r>
        <w:rPr>
          <w:iCs/>
          <w:szCs w:val="21"/>
        </w:rPr>
        <w:t>approach will be supported in NR.</w:t>
      </w:r>
    </w:p>
    <w:p w:rsidR="00AE244B" w:rsidRDefault="00AC698C">
      <w:pPr>
        <w:numPr>
          <w:ilvl w:val="0"/>
          <w:numId w:val="5"/>
        </w:numPr>
        <w:ind w:left="1245" w:hanging="1245"/>
        <w:rPr>
          <w:b/>
          <w:bCs/>
          <w:szCs w:val="21"/>
        </w:rPr>
      </w:pPr>
      <w:r>
        <w:rPr>
          <w:b/>
          <w:bCs/>
          <w:szCs w:val="21"/>
        </w:rPr>
        <w:t xml:space="preserve">In case an explicit cell list </w:t>
      </w:r>
      <w:r w:rsidR="000E6A56">
        <w:rPr>
          <w:b/>
          <w:bCs/>
          <w:szCs w:val="21"/>
        </w:rPr>
        <w:t>is</w:t>
      </w:r>
      <w:r>
        <w:rPr>
          <w:b/>
          <w:bCs/>
          <w:szCs w:val="21"/>
        </w:rPr>
        <w:t xml:space="preserve"> configured as </w:t>
      </w:r>
      <w:r w:rsidR="000E6A56">
        <w:rPr>
          <w:b/>
          <w:bCs/>
          <w:szCs w:val="21"/>
        </w:rPr>
        <w:t xml:space="preserve">a </w:t>
      </w:r>
      <w:r>
        <w:rPr>
          <w:b/>
          <w:bCs/>
          <w:szCs w:val="21"/>
        </w:rPr>
        <w:t>target for early measurement, the UE</w:t>
      </w:r>
      <w:r w:rsidR="000E6A56">
        <w:rPr>
          <w:b/>
          <w:bCs/>
          <w:szCs w:val="21"/>
        </w:rPr>
        <w:t xml:space="preserve"> shall be able to identify </w:t>
      </w:r>
      <w:r>
        <w:rPr>
          <w:b/>
          <w:bCs/>
          <w:szCs w:val="21"/>
        </w:rPr>
        <w:t xml:space="preserve">with which function (i.e. CA, DC or both) the </w:t>
      </w:r>
      <w:r w:rsidR="000E6A56">
        <w:rPr>
          <w:b/>
          <w:bCs/>
          <w:szCs w:val="21"/>
        </w:rPr>
        <w:t xml:space="preserve">listed </w:t>
      </w:r>
      <w:r>
        <w:rPr>
          <w:b/>
          <w:bCs/>
          <w:szCs w:val="21"/>
        </w:rPr>
        <w:t>cell</w:t>
      </w:r>
      <w:r w:rsidR="000E6A56">
        <w:rPr>
          <w:b/>
          <w:bCs/>
          <w:szCs w:val="21"/>
        </w:rPr>
        <w:t>s</w:t>
      </w:r>
      <w:r>
        <w:rPr>
          <w:b/>
          <w:bCs/>
          <w:szCs w:val="21"/>
        </w:rPr>
        <w:t xml:space="preserve"> can work </w:t>
      </w:r>
      <w:r w:rsidR="000E6A56">
        <w:rPr>
          <w:b/>
          <w:bCs/>
          <w:szCs w:val="21"/>
        </w:rPr>
        <w:t>together with the</w:t>
      </w:r>
      <w:r>
        <w:rPr>
          <w:b/>
          <w:bCs/>
          <w:szCs w:val="21"/>
        </w:rPr>
        <w:t xml:space="preserve"> serving cell</w:t>
      </w:r>
      <w:r w:rsidR="000E6A56">
        <w:rPr>
          <w:b/>
          <w:bCs/>
          <w:szCs w:val="21"/>
        </w:rPr>
        <w:t xml:space="preserve"> where the UE is camping</w:t>
      </w:r>
      <w:r>
        <w:rPr>
          <w:b/>
          <w:bCs/>
          <w:szCs w:val="21"/>
        </w:rPr>
        <w:t xml:space="preserve">. </w:t>
      </w:r>
    </w:p>
    <w:p w:rsidR="00AE244B" w:rsidRDefault="00AC698C">
      <w:pPr>
        <w:rPr>
          <w:szCs w:val="21"/>
        </w:rPr>
      </w:pPr>
      <w:r>
        <w:rPr>
          <w:szCs w:val="21"/>
        </w:rPr>
        <w:t xml:space="preserve">With this WI and LTE </w:t>
      </w:r>
      <w:proofErr w:type="spellStart"/>
      <w:r>
        <w:rPr>
          <w:szCs w:val="21"/>
        </w:rPr>
        <w:t>euCA</w:t>
      </w:r>
      <w:proofErr w:type="spellEnd"/>
      <w:r w:rsidR="005E2CE1">
        <w:rPr>
          <w:szCs w:val="21"/>
        </w:rPr>
        <w:t>, LTE@EPC, LTE@</w:t>
      </w:r>
      <w:r>
        <w:rPr>
          <w:szCs w:val="21"/>
        </w:rPr>
        <w:t>5GC, and NR will support early measurement re</w:t>
      </w:r>
      <w:r w:rsidR="00167050">
        <w:rPr>
          <w:szCs w:val="21"/>
        </w:rPr>
        <w:t xml:space="preserve">porting. Then one issue is </w:t>
      </w:r>
      <w:r>
        <w:rPr>
          <w:szCs w:val="21"/>
        </w:rPr>
        <w:t>whether UE should continue early measurement after inter-RAT cell re-selection. In</w:t>
      </w:r>
      <w:r>
        <w:rPr>
          <w:szCs w:val="21"/>
        </w:rPr>
        <w:t xml:space="preserve"> our understanding, hybrid deployment of both NR and E-UTRA will exist for a peri</w:t>
      </w:r>
      <w:r>
        <w:rPr>
          <w:szCs w:val="21"/>
        </w:rPr>
        <w:t xml:space="preserve">od of time. Both inter-system and intra-system inter-RAT re-selection are supported. </w:t>
      </w:r>
    </w:p>
    <w:p w:rsidR="00AE244B" w:rsidRDefault="00AC698C">
      <w:pPr>
        <w:rPr>
          <w:szCs w:val="21"/>
        </w:rPr>
      </w:pPr>
      <w:r>
        <w:rPr>
          <w:szCs w:val="21"/>
        </w:rPr>
        <w:t>To speed up CA/MR-DC setup in such deployment</w:t>
      </w:r>
      <w:r w:rsidR="00AE1D7A">
        <w:rPr>
          <w:szCs w:val="21"/>
        </w:rPr>
        <w:t>s, the network</w:t>
      </w:r>
      <w:r>
        <w:rPr>
          <w:szCs w:val="21"/>
        </w:rPr>
        <w:t xml:space="preserve"> can configure both</w:t>
      </w:r>
      <w:r w:rsidR="00AE1D7A">
        <w:rPr>
          <w:szCs w:val="21"/>
        </w:rPr>
        <w:t>.</w:t>
      </w:r>
      <w:r>
        <w:rPr>
          <w:szCs w:val="21"/>
        </w:rPr>
        <w:t xml:space="preserve"> Thus there is no reason to sto</w:t>
      </w:r>
      <w:r w:rsidR="00E87D8B">
        <w:rPr>
          <w:szCs w:val="21"/>
        </w:rPr>
        <w:t>p configured early measurement</w:t>
      </w:r>
      <w:r>
        <w:rPr>
          <w:szCs w:val="21"/>
        </w:rPr>
        <w:t xml:space="preserve"> when inter-RAT re-sele</w:t>
      </w:r>
      <w:r>
        <w:rPr>
          <w:szCs w:val="21"/>
        </w:rPr>
        <w:t>ction if performed.</w:t>
      </w:r>
    </w:p>
    <w:p w:rsidR="00AE244B" w:rsidRDefault="00AC698C">
      <w:pPr>
        <w:rPr>
          <w:szCs w:val="21"/>
        </w:rPr>
      </w:pPr>
      <w:r>
        <w:rPr>
          <w:szCs w:val="21"/>
        </w:rPr>
        <w:t xml:space="preserve">If </w:t>
      </w:r>
      <w:r w:rsidR="00227D4F">
        <w:rPr>
          <w:szCs w:val="21"/>
        </w:rPr>
        <w:t xml:space="preserve">the </w:t>
      </w:r>
      <w:r>
        <w:rPr>
          <w:szCs w:val="21"/>
        </w:rPr>
        <w:t xml:space="preserve">UE is configured with early measurement via system information, it is natural for the UE to apply updated </w:t>
      </w:r>
      <w:r>
        <w:rPr>
          <w:szCs w:val="21"/>
        </w:rPr>
        <w:lastRenderedPageBreak/>
        <w:t>configuration from newly re-selected cell, no matter the RAT type of its serving cell. If the UE is configured with early measu</w:t>
      </w:r>
      <w:r>
        <w:rPr>
          <w:szCs w:val="21"/>
        </w:rPr>
        <w:t>rement via dedicated</w:t>
      </w:r>
      <w:r w:rsidR="00EB7D04">
        <w:rPr>
          <w:szCs w:val="21"/>
        </w:rPr>
        <w:t xml:space="preserve"> RRC message, it is up to the network</w:t>
      </w:r>
      <w:r>
        <w:rPr>
          <w:szCs w:val="21"/>
        </w:rPr>
        <w:t xml:space="preserve"> node which releases this UE to configure a proper configuration. If the dedicated configuration contains both NR and E-UTRA carrier frequency list, </w:t>
      </w:r>
      <w:r w:rsidR="00F16341">
        <w:rPr>
          <w:szCs w:val="21"/>
        </w:rPr>
        <w:t xml:space="preserve">the </w:t>
      </w:r>
      <w:r>
        <w:rPr>
          <w:szCs w:val="21"/>
        </w:rPr>
        <w:t>UE can continue early measurement after inter-RAT re-se</w:t>
      </w:r>
      <w:r>
        <w:rPr>
          <w:szCs w:val="21"/>
        </w:rPr>
        <w:t>lection.</w:t>
      </w:r>
    </w:p>
    <w:p w:rsidR="00AE244B" w:rsidRDefault="00AC698C">
      <w:pPr>
        <w:rPr>
          <w:szCs w:val="21"/>
        </w:rPr>
      </w:pPr>
      <w:r>
        <w:rPr>
          <w:szCs w:val="21"/>
        </w:rPr>
        <w:t>Another issue is whether UE re-start measurement duration timer, or continue this timer. We prefer to maintain this time, i.e. not restart it to avoid this timer are re-started many times due to continuous inter-RAT re-selection. And this is unnec</w:t>
      </w:r>
      <w:r>
        <w:rPr>
          <w:szCs w:val="21"/>
        </w:rPr>
        <w:t>essary and not UE power efficient.</w:t>
      </w:r>
    </w:p>
    <w:p w:rsidR="00AE244B" w:rsidRDefault="00AC698C">
      <w:pPr>
        <w:numPr>
          <w:ilvl w:val="0"/>
          <w:numId w:val="5"/>
        </w:numPr>
        <w:ind w:left="1245" w:hanging="1245"/>
        <w:rPr>
          <w:b/>
          <w:bCs/>
          <w:szCs w:val="21"/>
        </w:rPr>
      </w:pPr>
      <w:r>
        <w:rPr>
          <w:b/>
          <w:bCs/>
          <w:szCs w:val="21"/>
        </w:rPr>
        <w:t xml:space="preserve">For both RRC IDLE and RRC INACTIVE UE, upon inter-RAT re-selection, the </w:t>
      </w:r>
      <w:r>
        <w:rPr>
          <w:b/>
          <w:bCs/>
          <w:szCs w:val="21"/>
        </w:rPr>
        <w:t>UE continues early measurement without re-starting</w:t>
      </w:r>
      <w:r>
        <w:rPr>
          <w:b/>
          <w:bCs/>
          <w:szCs w:val="21"/>
        </w:rPr>
        <w:t xml:space="preserve"> measurement duration timer.</w:t>
      </w:r>
    </w:p>
    <w:p w:rsidR="00AE244B" w:rsidRDefault="00AC698C">
      <w:pPr>
        <w:rPr>
          <w:szCs w:val="21"/>
        </w:rPr>
      </w:pPr>
      <w:r>
        <w:rPr>
          <w:szCs w:val="21"/>
        </w:rPr>
        <w:t xml:space="preserve">In R15, a RRC INACTIVE UE may transit RRC state to RRD IDLE due to inter-RAT </w:t>
      </w:r>
      <w:r>
        <w:rPr>
          <w:szCs w:val="21"/>
        </w:rPr>
        <w:t>re-selection or due to RNA update timer expires (which means RNA update fails). The question is whether early measurement should</w:t>
      </w:r>
      <w:r>
        <w:rPr>
          <w:rFonts w:hint="eastAsia"/>
          <w:szCs w:val="21"/>
        </w:rPr>
        <w:t xml:space="preserve"> </w:t>
      </w:r>
      <w:r>
        <w:rPr>
          <w:szCs w:val="21"/>
        </w:rPr>
        <w:t>continue</w:t>
      </w:r>
      <w:r>
        <w:rPr>
          <w:rFonts w:hint="eastAsia"/>
          <w:szCs w:val="21"/>
        </w:rPr>
        <w:t xml:space="preserve"> </w:t>
      </w:r>
      <w:r>
        <w:rPr>
          <w:szCs w:val="21"/>
        </w:rPr>
        <w:t>or stop</w:t>
      </w:r>
      <w:r>
        <w:rPr>
          <w:rFonts w:hint="eastAsia"/>
          <w:szCs w:val="21"/>
        </w:rPr>
        <w:t xml:space="preserve"> in this case. </w:t>
      </w:r>
      <w:r>
        <w:rPr>
          <w:szCs w:val="21"/>
        </w:rPr>
        <w:t>In</w:t>
      </w:r>
      <w:r>
        <w:rPr>
          <w:szCs w:val="21"/>
        </w:rPr>
        <w:t xml:space="preserve"> our understanding, it is beneficial to continue early measurement before the measurement dur</w:t>
      </w:r>
      <w:r>
        <w:rPr>
          <w:szCs w:val="21"/>
        </w:rPr>
        <w:t>ation timer expires.</w:t>
      </w:r>
    </w:p>
    <w:p w:rsidR="00AE244B" w:rsidRDefault="00AC698C">
      <w:pPr>
        <w:numPr>
          <w:ilvl w:val="0"/>
          <w:numId w:val="5"/>
        </w:numPr>
        <w:ind w:left="1245" w:hanging="1245"/>
        <w:rPr>
          <w:b/>
          <w:bCs/>
          <w:szCs w:val="21"/>
        </w:rPr>
      </w:pPr>
      <w:r>
        <w:rPr>
          <w:b/>
          <w:bCs/>
          <w:szCs w:val="21"/>
        </w:rPr>
        <w:t xml:space="preserve">The </w:t>
      </w:r>
      <w:r>
        <w:rPr>
          <w:b/>
          <w:bCs/>
          <w:szCs w:val="21"/>
        </w:rPr>
        <w:t xml:space="preserve">UE continues early measurement before measurement duration time expires, after it is transited from RRC INACTIVE to RRC IDLE state due to inter-RAT re-selection or because the </w:t>
      </w:r>
      <w:r>
        <w:rPr>
          <w:b/>
          <w:bCs/>
          <w:szCs w:val="21"/>
        </w:rPr>
        <w:t>RNA update timer expires.</w:t>
      </w:r>
    </w:p>
    <w:p w:rsidR="00AE244B" w:rsidRDefault="00AC698C">
      <w:pPr>
        <w:rPr>
          <w:szCs w:val="21"/>
        </w:rPr>
      </w:pPr>
      <w:r>
        <w:rPr>
          <w:szCs w:val="21"/>
        </w:rPr>
        <w:t xml:space="preserve">In LTE </w:t>
      </w:r>
      <w:proofErr w:type="spellStart"/>
      <w:r>
        <w:rPr>
          <w:szCs w:val="21"/>
        </w:rPr>
        <w:t>euCA</w:t>
      </w:r>
      <w:proofErr w:type="spellEnd"/>
      <w:r>
        <w:rPr>
          <w:szCs w:val="21"/>
        </w:rPr>
        <w:t xml:space="preserve">, the </w:t>
      </w:r>
      <w:proofErr w:type="spellStart"/>
      <w:r>
        <w:rPr>
          <w:szCs w:val="21"/>
        </w:rPr>
        <w:t>networ</w:t>
      </w:r>
      <w:proofErr w:type="spellEnd"/>
      <w:r>
        <w:rPr>
          <w:szCs w:val="21"/>
        </w:rPr>
        <w:t xml:space="preserve"> can indicate whether i</w:t>
      </w:r>
      <w:r>
        <w:rPr>
          <w:szCs w:val="21"/>
        </w:rPr>
        <w:t>dle measurement is required for the UE camped on the cell. If this indicator (</w:t>
      </w:r>
      <w:proofErr w:type="spellStart"/>
      <w:r>
        <w:rPr>
          <w:i/>
          <w:iCs/>
          <w:szCs w:val="21"/>
          <w:lang w:val="en-GB"/>
        </w:rPr>
        <w:t>idleModeMeasurements</w:t>
      </w:r>
      <w:proofErr w:type="spellEnd"/>
      <w:r>
        <w:rPr>
          <w:szCs w:val="21"/>
        </w:rPr>
        <w:t xml:space="preserve">) is configured in SIB2 and the </w:t>
      </w:r>
      <w:r>
        <w:rPr>
          <w:szCs w:val="21"/>
        </w:rPr>
        <w:t xml:space="preserve">UE has valid idle measurement results, the </w:t>
      </w:r>
      <w:r>
        <w:rPr>
          <w:szCs w:val="21"/>
        </w:rPr>
        <w:t xml:space="preserve">UE includes </w:t>
      </w:r>
      <w:proofErr w:type="spellStart"/>
      <w:r>
        <w:rPr>
          <w:i/>
          <w:iCs/>
          <w:szCs w:val="21"/>
          <w:lang w:val="en-GB"/>
        </w:rPr>
        <w:t>idleMeasAvailable</w:t>
      </w:r>
      <w:proofErr w:type="spellEnd"/>
      <w:r>
        <w:rPr>
          <w:i/>
          <w:iCs/>
          <w:szCs w:val="21"/>
        </w:rPr>
        <w:t xml:space="preserve"> </w:t>
      </w:r>
      <w:r>
        <w:rPr>
          <w:szCs w:val="21"/>
        </w:rPr>
        <w:t xml:space="preserve">in the RRC setup complete message. </w:t>
      </w:r>
    </w:p>
    <w:p w:rsidR="00AE244B" w:rsidRDefault="00AC698C">
      <w:pPr>
        <w:rPr>
          <w:szCs w:val="21"/>
        </w:rPr>
      </w:pPr>
      <w:r>
        <w:rPr>
          <w:szCs w:val="21"/>
        </w:rPr>
        <w:t>It is to be noted that al</w:t>
      </w:r>
      <w:r>
        <w:rPr>
          <w:szCs w:val="21"/>
        </w:rPr>
        <w:t xml:space="preserve">though with dedicated early measurement configuration via RRC release message, the </w:t>
      </w:r>
      <w:r>
        <w:rPr>
          <w:szCs w:val="21"/>
        </w:rPr>
        <w:t xml:space="preserve">UE is configured to perform early measurement in RRC IDLE state, the network </w:t>
      </w:r>
      <w:r>
        <w:rPr>
          <w:szCs w:val="21"/>
        </w:rPr>
        <w:t xml:space="preserve">can still control whether the </w:t>
      </w:r>
      <w:r>
        <w:rPr>
          <w:szCs w:val="21"/>
        </w:rPr>
        <w:t>UE is required to perform early measurement and whether indication of measureme</w:t>
      </w:r>
      <w:r>
        <w:rPr>
          <w:szCs w:val="21"/>
        </w:rPr>
        <w:t>nt results availability is required to be indicated.</w:t>
      </w:r>
    </w:p>
    <w:p w:rsidR="00AC698C" w:rsidRDefault="00AC698C" w:rsidP="00AC698C">
      <w:r>
        <w:t>In this WI, a similar approach can be followed. Two separate bits can be configured to indicate whether early measurement is required to UE in RRC ILDE and UE in RRC INACTIVE respectively. This is beneficial for the network to control the UE behavior in different RRC state</w:t>
      </w:r>
      <w:r>
        <w:rPr>
          <w:rFonts w:hint="eastAsia"/>
        </w:rPr>
        <w:t xml:space="preserve"> according to </w:t>
      </w:r>
      <w:r>
        <w:t>the network</w:t>
      </w:r>
      <w:r>
        <w:rPr>
          <w:rFonts w:hint="eastAsia"/>
        </w:rPr>
        <w:t xml:space="preserve"> preference.</w:t>
      </w:r>
    </w:p>
    <w:p w:rsidR="00AC698C" w:rsidRPr="00AC698C" w:rsidRDefault="00AC698C" w:rsidP="00AC698C">
      <w:pPr>
        <w:numPr>
          <w:ilvl w:val="0"/>
          <w:numId w:val="5"/>
        </w:numPr>
        <w:ind w:left="1245" w:hanging="1245"/>
        <w:rPr>
          <w:b/>
          <w:bCs/>
          <w:szCs w:val="21"/>
        </w:rPr>
      </w:pPr>
      <w:r>
        <w:rPr>
          <w:b/>
          <w:bCs/>
          <w:szCs w:val="21"/>
        </w:rPr>
        <w:t>Indicate whether the UE performs early measurement in RRC IDLE or RRC INACTIVE state separately in SIB.</w:t>
      </w:r>
    </w:p>
    <w:p w:rsidR="00AE244B" w:rsidRDefault="00AC698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Conclusion</w:t>
      </w:r>
    </w:p>
    <w:p w:rsidR="00AE244B" w:rsidRDefault="0017511C">
      <w:pPr>
        <w:numPr>
          <w:ilvl w:val="0"/>
          <w:numId w:val="7"/>
        </w:numPr>
        <w:ind w:left="1665" w:hanging="1665"/>
        <w:rPr>
          <w:b/>
          <w:bCs/>
          <w:szCs w:val="21"/>
        </w:rPr>
      </w:pPr>
      <w:r>
        <w:rPr>
          <w:b/>
          <w:bCs/>
          <w:szCs w:val="21"/>
        </w:rPr>
        <w:t xml:space="preserve">In LTE </w:t>
      </w:r>
      <w:proofErr w:type="spellStart"/>
      <w:r>
        <w:rPr>
          <w:b/>
          <w:bCs/>
          <w:szCs w:val="21"/>
        </w:rPr>
        <w:t>euCA</w:t>
      </w:r>
      <w:proofErr w:type="spellEnd"/>
      <w:r>
        <w:rPr>
          <w:b/>
          <w:bCs/>
          <w:szCs w:val="21"/>
        </w:rPr>
        <w:t>, the validity area is optionally configured in RRC release message and SIB. If configured, the UE will stop T331 and early measurement as soon as the UE moves outside the validity area</w:t>
      </w:r>
      <w:r w:rsidR="00AC698C">
        <w:rPr>
          <w:b/>
          <w:bCs/>
          <w:szCs w:val="21"/>
        </w:rPr>
        <w:t xml:space="preserve">. </w:t>
      </w:r>
    </w:p>
    <w:p w:rsidR="00AE244B" w:rsidRDefault="00AC698C">
      <w:pPr>
        <w:numPr>
          <w:ilvl w:val="0"/>
          <w:numId w:val="7"/>
        </w:numPr>
        <w:ind w:left="1665" w:hanging="1665"/>
        <w:rPr>
          <w:b/>
          <w:bCs/>
          <w:szCs w:val="21"/>
        </w:rPr>
      </w:pPr>
      <w:r>
        <w:rPr>
          <w:b/>
          <w:bCs/>
          <w:szCs w:val="21"/>
        </w:rPr>
        <w:t>When UE acquires detailed early measurement configuration from SIB (e.g</w:t>
      </w:r>
      <w:r>
        <w:rPr>
          <w:b/>
          <w:bCs/>
          <w:szCs w:val="21"/>
        </w:rPr>
        <w:t xml:space="preserve">. it is absent in </w:t>
      </w:r>
      <w:proofErr w:type="spellStart"/>
      <w:r>
        <w:rPr>
          <w:b/>
          <w:bCs/>
          <w:szCs w:val="21"/>
        </w:rPr>
        <w:t>RRCRelease</w:t>
      </w:r>
      <w:proofErr w:type="spellEnd"/>
      <w:r>
        <w:rPr>
          <w:b/>
          <w:bCs/>
          <w:szCs w:val="21"/>
        </w:rPr>
        <w:t xml:space="preserve">), the measurement configuration will be replaced upon cell reselection, as well as </w:t>
      </w:r>
      <w:r w:rsidR="0076549F">
        <w:rPr>
          <w:b/>
          <w:bCs/>
          <w:szCs w:val="21"/>
        </w:rPr>
        <w:lastRenderedPageBreak/>
        <w:t xml:space="preserve">the </w:t>
      </w:r>
      <w:r>
        <w:rPr>
          <w:b/>
          <w:bCs/>
          <w:szCs w:val="21"/>
        </w:rPr>
        <w:t>validity area.</w:t>
      </w:r>
    </w:p>
    <w:p w:rsidR="00AE244B" w:rsidRDefault="00AC698C">
      <w:pPr>
        <w:numPr>
          <w:ilvl w:val="0"/>
          <w:numId w:val="7"/>
        </w:numPr>
        <w:ind w:left="1665" w:hanging="1665"/>
        <w:rPr>
          <w:b/>
          <w:bCs/>
          <w:szCs w:val="21"/>
        </w:rPr>
      </w:pPr>
      <w:r>
        <w:rPr>
          <w:b/>
          <w:bCs/>
          <w:szCs w:val="21"/>
        </w:rPr>
        <w:t xml:space="preserve">In LTE </w:t>
      </w:r>
      <w:proofErr w:type="spellStart"/>
      <w:r>
        <w:rPr>
          <w:b/>
          <w:bCs/>
          <w:szCs w:val="21"/>
        </w:rPr>
        <w:t>euCA</w:t>
      </w:r>
      <w:proofErr w:type="spellEnd"/>
      <w:r>
        <w:rPr>
          <w:b/>
          <w:bCs/>
          <w:szCs w:val="21"/>
        </w:rPr>
        <w:t xml:space="preserve">, </w:t>
      </w:r>
      <w:r w:rsidR="0076549F">
        <w:rPr>
          <w:b/>
          <w:bCs/>
          <w:szCs w:val="21"/>
        </w:rPr>
        <w:t xml:space="preserve">the </w:t>
      </w:r>
      <w:r>
        <w:rPr>
          <w:b/>
          <w:bCs/>
          <w:szCs w:val="21"/>
        </w:rPr>
        <w:t xml:space="preserve">UE is only required to perform early measurement on a carrier frequency with which it can support CA operation </w:t>
      </w:r>
      <w:r w:rsidR="00E70F61">
        <w:rPr>
          <w:b/>
          <w:bCs/>
          <w:szCs w:val="21"/>
        </w:rPr>
        <w:t>with</w:t>
      </w:r>
      <w:r>
        <w:rPr>
          <w:b/>
          <w:bCs/>
          <w:szCs w:val="21"/>
        </w:rPr>
        <w:t xml:space="preserve"> its serving carrier.</w:t>
      </w:r>
    </w:p>
    <w:p w:rsidR="00AE244B" w:rsidRDefault="00AC698C">
      <w:pPr>
        <w:numPr>
          <w:ilvl w:val="0"/>
          <w:numId w:val="8"/>
        </w:numPr>
        <w:ind w:left="1245" w:hanging="1245"/>
        <w:rPr>
          <w:b/>
          <w:bCs/>
          <w:szCs w:val="21"/>
        </w:rPr>
      </w:pPr>
      <w:r>
        <w:rPr>
          <w:b/>
          <w:bCs/>
          <w:szCs w:val="21"/>
        </w:rPr>
        <w:t>Validity area is not supported at least for early measurement configuration in SIB.</w:t>
      </w:r>
    </w:p>
    <w:p w:rsidR="00AE244B" w:rsidRDefault="00EC7810">
      <w:pPr>
        <w:numPr>
          <w:ilvl w:val="0"/>
          <w:numId w:val="8"/>
        </w:numPr>
        <w:ind w:left="1245" w:hanging="1245"/>
        <w:rPr>
          <w:b/>
          <w:bCs/>
          <w:szCs w:val="21"/>
        </w:rPr>
      </w:pPr>
      <w:r>
        <w:rPr>
          <w:b/>
          <w:bCs/>
          <w:szCs w:val="21"/>
        </w:rPr>
        <w:t xml:space="preserve">The </w:t>
      </w:r>
      <w:r w:rsidR="00AC698C">
        <w:rPr>
          <w:b/>
          <w:bCs/>
          <w:szCs w:val="21"/>
        </w:rPr>
        <w:t xml:space="preserve">UE is required to perform early measurement on carrier frequency (including both NR carrier and LTE carrier) only if it can support MR-DC, NR-NR DC </w:t>
      </w:r>
      <w:r w:rsidR="00AC698C">
        <w:rPr>
          <w:b/>
          <w:bCs/>
          <w:szCs w:val="21"/>
        </w:rPr>
        <w:t>or CA operation between the current serving cell and the</w:t>
      </w:r>
      <w:r w:rsidR="00AC698C">
        <w:rPr>
          <w:rFonts w:hint="eastAsia"/>
          <w:b/>
          <w:bCs/>
          <w:szCs w:val="21"/>
        </w:rPr>
        <w:t xml:space="preserve"> </w:t>
      </w:r>
      <w:r w:rsidR="00AC698C">
        <w:rPr>
          <w:b/>
          <w:bCs/>
          <w:szCs w:val="21"/>
        </w:rPr>
        <w:t xml:space="preserve">carrier frequency. </w:t>
      </w:r>
    </w:p>
    <w:p w:rsidR="00AE244B" w:rsidRDefault="000E6A56">
      <w:pPr>
        <w:numPr>
          <w:ilvl w:val="0"/>
          <w:numId w:val="8"/>
        </w:numPr>
        <w:ind w:left="1245" w:hanging="1245"/>
        <w:rPr>
          <w:b/>
          <w:bCs/>
          <w:szCs w:val="21"/>
        </w:rPr>
      </w:pPr>
      <w:r>
        <w:rPr>
          <w:b/>
          <w:bCs/>
          <w:szCs w:val="21"/>
        </w:rPr>
        <w:t>For each NR carrier frequency configured for early measurement, the UE shall be able to identify with which feature (i.e. CA, DC or both) the NR carrier frequency can work together with the serving cell where the UE is camping. And the UE will determine whether to perform early measurement on the NR carrier or not based on the corresponding UE capability</w:t>
      </w:r>
      <w:r w:rsidR="00AC698C">
        <w:rPr>
          <w:b/>
          <w:bCs/>
          <w:szCs w:val="21"/>
        </w:rPr>
        <w:t>.</w:t>
      </w:r>
    </w:p>
    <w:p w:rsidR="00AE244B" w:rsidRDefault="000E6A56">
      <w:pPr>
        <w:numPr>
          <w:ilvl w:val="0"/>
          <w:numId w:val="8"/>
        </w:numPr>
        <w:ind w:left="1245" w:hanging="1245"/>
        <w:rPr>
          <w:b/>
          <w:bCs/>
          <w:szCs w:val="21"/>
        </w:rPr>
      </w:pPr>
      <w:r>
        <w:rPr>
          <w:b/>
          <w:bCs/>
          <w:szCs w:val="21"/>
        </w:rPr>
        <w:t>In case an explicit cell list is configured as a target for early measurement, the UE shall be able to identify with which function (i.e. CA, DC or both) the listed cells can work together with the serving cell where the UE is camping</w:t>
      </w:r>
      <w:r w:rsidR="00AC698C">
        <w:rPr>
          <w:b/>
          <w:bCs/>
          <w:szCs w:val="21"/>
        </w:rPr>
        <w:t xml:space="preserve">. </w:t>
      </w:r>
    </w:p>
    <w:p w:rsidR="00AE244B" w:rsidRDefault="00AC698C">
      <w:pPr>
        <w:numPr>
          <w:ilvl w:val="0"/>
          <w:numId w:val="8"/>
        </w:numPr>
        <w:ind w:left="1245" w:hanging="1245"/>
        <w:rPr>
          <w:b/>
          <w:bCs/>
          <w:szCs w:val="21"/>
        </w:rPr>
      </w:pPr>
      <w:r>
        <w:rPr>
          <w:b/>
          <w:bCs/>
          <w:szCs w:val="21"/>
        </w:rPr>
        <w:t>For both RRC IDLE and RRC INACTIVE UE, upon inter-RAT re-selection, the UE continues early measurement without re-starting measurement duration timer</w:t>
      </w:r>
      <w:r>
        <w:rPr>
          <w:b/>
          <w:bCs/>
          <w:szCs w:val="21"/>
        </w:rPr>
        <w:t>.</w:t>
      </w:r>
    </w:p>
    <w:p w:rsidR="00AE244B" w:rsidRDefault="00AC698C">
      <w:pPr>
        <w:numPr>
          <w:ilvl w:val="0"/>
          <w:numId w:val="8"/>
        </w:numPr>
        <w:ind w:left="1245" w:hanging="1245"/>
        <w:rPr>
          <w:b/>
          <w:bCs/>
          <w:szCs w:val="21"/>
        </w:rPr>
      </w:pPr>
      <w:r>
        <w:rPr>
          <w:b/>
          <w:bCs/>
          <w:szCs w:val="21"/>
        </w:rPr>
        <w:t>The UE continues early measurement before measurement duration time expires, after it is transited from RRC INACTIVE to RRC IDLE state due to inter-RAT re-selection or because the RNA update timer expires</w:t>
      </w:r>
      <w:r>
        <w:rPr>
          <w:b/>
          <w:bCs/>
          <w:szCs w:val="21"/>
        </w:rPr>
        <w:t>.</w:t>
      </w:r>
    </w:p>
    <w:p w:rsidR="00AE244B" w:rsidRDefault="00AC698C">
      <w:pPr>
        <w:numPr>
          <w:ilvl w:val="0"/>
          <w:numId w:val="8"/>
        </w:numPr>
        <w:ind w:left="1245" w:hanging="1245"/>
        <w:rPr>
          <w:b/>
          <w:bCs/>
          <w:szCs w:val="21"/>
        </w:rPr>
      </w:pPr>
      <w:r>
        <w:rPr>
          <w:b/>
          <w:bCs/>
          <w:szCs w:val="21"/>
        </w:rPr>
        <w:t>Indicate whether the UE performs early measurement in RRC IDLE or RRC INACTIVE state separately in SIB</w:t>
      </w:r>
      <w:r>
        <w:rPr>
          <w:b/>
          <w:bCs/>
          <w:szCs w:val="21"/>
        </w:rPr>
        <w:t>.</w:t>
      </w:r>
    </w:p>
    <w:p w:rsidR="00AE244B" w:rsidRDefault="00AC698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32"/>
        </w:rPr>
      </w:pPr>
      <w:r>
        <w:rPr>
          <w:rFonts w:ascii="Arial" w:hAnsi="Arial" w:cs="Arial"/>
          <w:kern w:val="0"/>
          <w:sz w:val="28"/>
          <w:szCs w:val="32"/>
        </w:rPr>
        <w:t>References</w:t>
      </w:r>
    </w:p>
    <w:p w:rsidR="00AE244B" w:rsidRDefault="00AC698C">
      <w:pPr>
        <w:pStyle w:val="ListParagraph1"/>
        <w:numPr>
          <w:ilvl w:val="0"/>
          <w:numId w:val="9"/>
        </w:numPr>
        <w:ind w:firstLineChars="0"/>
      </w:pPr>
      <w:r>
        <w:t>RNA2#105bis chairman notes</w:t>
      </w:r>
    </w:p>
    <w:p w:rsidR="00AE244B" w:rsidRDefault="00AC698C">
      <w:pPr>
        <w:pStyle w:val="ListParagraph1"/>
        <w:numPr>
          <w:ilvl w:val="0"/>
          <w:numId w:val="9"/>
        </w:numPr>
        <w:ind w:firstLineChars="0"/>
      </w:pPr>
      <w:r>
        <w:t>TS 36.331, v15.4.0</w:t>
      </w:r>
    </w:p>
    <w:sectPr w:rsidR="00AE244B" w:rsidSect="00AE244B">
      <w:headerReference w:type="default" r:id="rId9"/>
      <w:footerReference w:type="even" r:id="rId10"/>
      <w:footerReference w:type="default" r:id="rId11"/>
      <w:pgSz w:w="11906" w:h="16838"/>
      <w:pgMar w:top="1440" w:right="975" w:bottom="208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44B" w:rsidRDefault="00AE244B" w:rsidP="00AE244B">
      <w:pPr>
        <w:spacing w:after="0" w:line="240" w:lineRule="auto"/>
      </w:pPr>
      <w:r>
        <w:separator/>
      </w:r>
    </w:p>
  </w:endnote>
  <w:endnote w:type="continuationSeparator" w:id="0">
    <w:p w:rsidR="00AE244B" w:rsidRDefault="00AE244B" w:rsidP="00AE24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44B" w:rsidRDefault="00AE244B">
    <w:pPr>
      <w:pStyle w:val="Footer"/>
      <w:framePr w:wrap="around" w:vAnchor="text" w:hAnchor="margin" w:xAlign="right" w:y="1"/>
      <w:rPr>
        <w:rStyle w:val="PageNumber"/>
      </w:rPr>
    </w:pPr>
    <w:r>
      <w:rPr>
        <w:rStyle w:val="PageNumber"/>
      </w:rPr>
      <w:fldChar w:fldCharType="begin"/>
    </w:r>
    <w:r w:rsidR="00AC698C">
      <w:rPr>
        <w:rStyle w:val="PageNumber"/>
      </w:rPr>
      <w:instrText xml:space="preserve">PAGE  </w:instrText>
    </w:r>
    <w:r>
      <w:rPr>
        <w:rStyle w:val="PageNumber"/>
      </w:rPr>
      <w:fldChar w:fldCharType="end"/>
    </w:r>
  </w:p>
  <w:p w:rsidR="00AE244B" w:rsidRDefault="00AE244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44B" w:rsidRDefault="00AE244B">
    <w:pPr>
      <w:pStyle w:val="Footer"/>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44B" w:rsidRDefault="00AE244B" w:rsidP="00AE244B">
      <w:pPr>
        <w:spacing w:after="0" w:line="240" w:lineRule="auto"/>
      </w:pPr>
      <w:r>
        <w:separator/>
      </w:r>
    </w:p>
  </w:footnote>
  <w:footnote w:type="continuationSeparator" w:id="0">
    <w:p w:rsidR="00AE244B" w:rsidRDefault="00AE244B" w:rsidP="00AE244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44B" w:rsidRDefault="00AE244B">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ACEE1D"/>
    <w:multiLevelType w:val="multilevel"/>
    <w:tmpl w:val="8EACEE1D"/>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nsid w:val="E246E9E5"/>
    <w:multiLevelType w:val="multilevel"/>
    <w:tmpl w:val="E246E9E5"/>
    <w:lvl w:ilvl="0">
      <w:start w:val="1"/>
      <w:numFmt w:val="decimal"/>
      <w:lvlText w:val="Observation %1."/>
      <w:lvlJc w:val="left"/>
      <w:pPr>
        <w:ind w:left="425" w:hanging="425"/>
      </w:pPr>
      <w:rPr>
        <w:rFonts w:ascii="Times New Roman" w:eastAsia="SimSun" w:hAnsi="Times New Roman" w:cs="SimSun"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nsid w:val="EBE959A8"/>
    <w:multiLevelType w:val="multilevel"/>
    <w:tmpl w:val="EBE959A8"/>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70E42A1"/>
    <w:multiLevelType w:val="multilevel"/>
    <w:tmpl w:val="070E42A1"/>
    <w:lvl w:ilvl="0">
      <w:start w:val="1"/>
      <w:numFmt w:val="decimal"/>
      <w:lvlText w:val="Observation %1."/>
      <w:lvlJc w:val="left"/>
      <w:pPr>
        <w:ind w:left="425" w:hanging="425"/>
      </w:pPr>
      <w:rPr>
        <w:rFonts w:ascii="Times New Roman" w:eastAsia="SimSun" w:hAnsi="Times New Roman" w:cs="SimSun"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45255078"/>
    <w:multiLevelType w:val="singleLevel"/>
    <w:tmpl w:val="45255078"/>
    <w:lvl w:ilvl="0">
      <w:start w:val="1"/>
      <w:numFmt w:val="bullet"/>
      <w:lvlText w:val=""/>
      <w:lvlJc w:val="left"/>
      <w:pPr>
        <w:ind w:left="420" w:hanging="420"/>
      </w:pPr>
      <w:rPr>
        <w:rFonts w:ascii="Wingdings" w:hAnsi="Wingding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8"/>
  </w:num>
  <w:num w:numId="3">
    <w:abstractNumId w:val="5"/>
  </w:num>
  <w:num w:numId="4">
    <w:abstractNumId w:val="1"/>
  </w:num>
  <w:num w:numId="5">
    <w:abstractNumId w:val="2"/>
  </w:num>
  <w:num w:numId="6">
    <w:abstractNumId w:val="7"/>
  </w:num>
  <w:num w:numId="7">
    <w:abstractNumId w:val="4"/>
  </w:num>
  <w:num w:numId="8">
    <w:abstractNumId w:val="0"/>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I JIANXUN">
    <w15:presenceInfo w15:providerId="None" w15:userId="AI JIANXU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420"/>
  <w:hyphenationZone w:val="283"/>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0659"/>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502"/>
    <w:rsid w:val="00203B88"/>
    <w:rsid w:val="002052A2"/>
    <w:rsid w:val="00206380"/>
    <w:rsid w:val="002155FA"/>
    <w:rsid w:val="002176DE"/>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3153"/>
    <w:rsid w:val="00C63CB8"/>
    <w:rsid w:val="00C65327"/>
    <w:rsid w:val="00C65768"/>
    <w:rsid w:val="00C67235"/>
    <w:rsid w:val="00C67382"/>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197935"/>
    <w:rsid w:val="0125053D"/>
    <w:rsid w:val="01304D4E"/>
    <w:rsid w:val="01380404"/>
    <w:rsid w:val="014720D7"/>
    <w:rsid w:val="016429DB"/>
    <w:rsid w:val="01720BE7"/>
    <w:rsid w:val="017B3921"/>
    <w:rsid w:val="01884E40"/>
    <w:rsid w:val="019D5AF5"/>
    <w:rsid w:val="01A30E9F"/>
    <w:rsid w:val="01A97168"/>
    <w:rsid w:val="01C87131"/>
    <w:rsid w:val="01D10E16"/>
    <w:rsid w:val="01E561F2"/>
    <w:rsid w:val="01EA4673"/>
    <w:rsid w:val="02107794"/>
    <w:rsid w:val="022243BF"/>
    <w:rsid w:val="024E797F"/>
    <w:rsid w:val="02523310"/>
    <w:rsid w:val="02550ACE"/>
    <w:rsid w:val="025A3625"/>
    <w:rsid w:val="025B152B"/>
    <w:rsid w:val="02662787"/>
    <w:rsid w:val="026D73E1"/>
    <w:rsid w:val="028A3B7A"/>
    <w:rsid w:val="02CA1FD3"/>
    <w:rsid w:val="02F818C1"/>
    <w:rsid w:val="0306294B"/>
    <w:rsid w:val="030856B5"/>
    <w:rsid w:val="032003F8"/>
    <w:rsid w:val="033F2C99"/>
    <w:rsid w:val="036B1ABD"/>
    <w:rsid w:val="037C305D"/>
    <w:rsid w:val="037D4E69"/>
    <w:rsid w:val="03A04F12"/>
    <w:rsid w:val="03BA639A"/>
    <w:rsid w:val="03CD590F"/>
    <w:rsid w:val="04043AF0"/>
    <w:rsid w:val="0428342F"/>
    <w:rsid w:val="04484436"/>
    <w:rsid w:val="044A4632"/>
    <w:rsid w:val="04910D7C"/>
    <w:rsid w:val="04AA2BD4"/>
    <w:rsid w:val="04BD0D3B"/>
    <w:rsid w:val="04D96073"/>
    <w:rsid w:val="04E608F9"/>
    <w:rsid w:val="04E947B4"/>
    <w:rsid w:val="04F07ADF"/>
    <w:rsid w:val="051A2788"/>
    <w:rsid w:val="051B25C3"/>
    <w:rsid w:val="057E44E3"/>
    <w:rsid w:val="058B0B55"/>
    <w:rsid w:val="05B61AC5"/>
    <w:rsid w:val="05CE1556"/>
    <w:rsid w:val="05EF07C9"/>
    <w:rsid w:val="06015A3C"/>
    <w:rsid w:val="06027EF5"/>
    <w:rsid w:val="060C0CA5"/>
    <w:rsid w:val="06110B74"/>
    <w:rsid w:val="061A315C"/>
    <w:rsid w:val="06252B22"/>
    <w:rsid w:val="063D613E"/>
    <w:rsid w:val="06694E5F"/>
    <w:rsid w:val="067361BA"/>
    <w:rsid w:val="06824FEB"/>
    <w:rsid w:val="06BF01A7"/>
    <w:rsid w:val="06D9595F"/>
    <w:rsid w:val="070133B2"/>
    <w:rsid w:val="07283DE5"/>
    <w:rsid w:val="074D24C6"/>
    <w:rsid w:val="07507AAC"/>
    <w:rsid w:val="075626E1"/>
    <w:rsid w:val="078808A5"/>
    <w:rsid w:val="078E330A"/>
    <w:rsid w:val="07AA222B"/>
    <w:rsid w:val="07B5421C"/>
    <w:rsid w:val="07CA2462"/>
    <w:rsid w:val="07D90597"/>
    <w:rsid w:val="07DB1F23"/>
    <w:rsid w:val="07EB35D1"/>
    <w:rsid w:val="07FD6D5F"/>
    <w:rsid w:val="07FF6BD0"/>
    <w:rsid w:val="082323C7"/>
    <w:rsid w:val="082E44D1"/>
    <w:rsid w:val="08533175"/>
    <w:rsid w:val="087E10BE"/>
    <w:rsid w:val="08804573"/>
    <w:rsid w:val="08822ECE"/>
    <w:rsid w:val="088B6E79"/>
    <w:rsid w:val="08B22098"/>
    <w:rsid w:val="08CA6B4A"/>
    <w:rsid w:val="08D17DCB"/>
    <w:rsid w:val="08DD3AA4"/>
    <w:rsid w:val="08EB3F64"/>
    <w:rsid w:val="09251CFD"/>
    <w:rsid w:val="092B21BF"/>
    <w:rsid w:val="09506A1B"/>
    <w:rsid w:val="095948E7"/>
    <w:rsid w:val="09682998"/>
    <w:rsid w:val="096E34B0"/>
    <w:rsid w:val="09730519"/>
    <w:rsid w:val="09953139"/>
    <w:rsid w:val="099A2FFA"/>
    <w:rsid w:val="09AD25DC"/>
    <w:rsid w:val="09AF3626"/>
    <w:rsid w:val="09C02B44"/>
    <w:rsid w:val="09C635D4"/>
    <w:rsid w:val="09C85D67"/>
    <w:rsid w:val="09CF7D35"/>
    <w:rsid w:val="09D07554"/>
    <w:rsid w:val="09D4401A"/>
    <w:rsid w:val="09E702AB"/>
    <w:rsid w:val="09F67490"/>
    <w:rsid w:val="0A047B3E"/>
    <w:rsid w:val="0A32165A"/>
    <w:rsid w:val="0A376299"/>
    <w:rsid w:val="0A39193C"/>
    <w:rsid w:val="0AAD201C"/>
    <w:rsid w:val="0AB90F90"/>
    <w:rsid w:val="0AC107AB"/>
    <w:rsid w:val="0AD36590"/>
    <w:rsid w:val="0AE2091B"/>
    <w:rsid w:val="0AFF138C"/>
    <w:rsid w:val="0B1F62A3"/>
    <w:rsid w:val="0B2D130D"/>
    <w:rsid w:val="0B60798A"/>
    <w:rsid w:val="0B6E2B79"/>
    <w:rsid w:val="0B7E21AB"/>
    <w:rsid w:val="0B885890"/>
    <w:rsid w:val="0B8D0232"/>
    <w:rsid w:val="0B9161E5"/>
    <w:rsid w:val="0BA3654E"/>
    <w:rsid w:val="0BAD0D22"/>
    <w:rsid w:val="0BB41626"/>
    <w:rsid w:val="0BDA3ED2"/>
    <w:rsid w:val="0C3937F5"/>
    <w:rsid w:val="0C746CCF"/>
    <w:rsid w:val="0C78761E"/>
    <w:rsid w:val="0C7E74F0"/>
    <w:rsid w:val="0C8C6D73"/>
    <w:rsid w:val="0C98504D"/>
    <w:rsid w:val="0CB44C57"/>
    <w:rsid w:val="0CC2007A"/>
    <w:rsid w:val="0CDB4889"/>
    <w:rsid w:val="0CF94478"/>
    <w:rsid w:val="0D1A27A3"/>
    <w:rsid w:val="0D21609D"/>
    <w:rsid w:val="0D225F51"/>
    <w:rsid w:val="0D2462BF"/>
    <w:rsid w:val="0D296530"/>
    <w:rsid w:val="0D7E00DA"/>
    <w:rsid w:val="0D7F2E80"/>
    <w:rsid w:val="0D981D69"/>
    <w:rsid w:val="0D9D48DB"/>
    <w:rsid w:val="0DA34B40"/>
    <w:rsid w:val="0DAC7851"/>
    <w:rsid w:val="0DCF3416"/>
    <w:rsid w:val="0DE35839"/>
    <w:rsid w:val="0E0346AA"/>
    <w:rsid w:val="0E090268"/>
    <w:rsid w:val="0E0A382E"/>
    <w:rsid w:val="0E1E5186"/>
    <w:rsid w:val="0E3F3320"/>
    <w:rsid w:val="0E674054"/>
    <w:rsid w:val="0E6E039F"/>
    <w:rsid w:val="0E6E1AF1"/>
    <w:rsid w:val="0E741C25"/>
    <w:rsid w:val="0E8D120F"/>
    <w:rsid w:val="0E9B0E1A"/>
    <w:rsid w:val="0EBB1479"/>
    <w:rsid w:val="0ED45A6F"/>
    <w:rsid w:val="0EF22955"/>
    <w:rsid w:val="0EFA18F2"/>
    <w:rsid w:val="0F0F6F85"/>
    <w:rsid w:val="0F1C5A04"/>
    <w:rsid w:val="0F253EE5"/>
    <w:rsid w:val="0F3870C4"/>
    <w:rsid w:val="0F466704"/>
    <w:rsid w:val="0F7962E8"/>
    <w:rsid w:val="0F8A6571"/>
    <w:rsid w:val="0F924692"/>
    <w:rsid w:val="0FD76755"/>
    <w:rsid w:val="0FE5349C"/>
    <w:rsid w:val="10146D39"/>
    <w:rsid w:val="1022572B"/>
    <w:rsid w:val="103A31BB"/>
    <w:rsid w:val="10771480"/>
    <w:rsid w:val="10810A46"/>
    <w:rsid w:val="10A4002B"/>
    <w:rsid w:val="10C0668A"/>
    <w:rsid w:val="10DC4226"/>
    <w:rsid w:val="11137A9F"/>
    <w:rsid w:val="11220330"/>
    <w:rsid w:val="11305185"/>
    <w:rsid w:val="11772542"/>
    <w:rsid w:val="118B46BF"/>
    <w:rsid w:val="11907D6A"/>
    <w:rsid w:val="11C63544"/>
    <w:rsid w:val="1205772F"/>
    <w:rsid w:val="121D0D6F"/>
    <w:rsid w:val="12271D82"/>
    <w:rsid w:val="122C3A07"/>
    <w:rsid w:val="122E46A4"/>
    <w:rsid w:val="124A7AC8"/>
    <w:rsid w:val="12714363"/>
    <w:rsid w:val="127E23EF"/>
    <w:rsid w:val="12A76F1E"/>
    <w:rsid w:val="12B8590F"/>
    <w:rsid w:val="12CD705E"/>
    <w:rsid w:val="12DE3A55"/>
    <w:rsid w:val="12E50DFA"/>
    <w:rsid w:val="13013944"/>
    <w:rsid w:val="1304495D"/>
    <w:rsid w:val="13057DAF"/>
    <w:rsid w:val="131941FF"/>
    <w:rsid w:val="133A0628"/>
    <w:rsid w:val="1348230E"/>
    <w:rsid w:val="13621162"/>
    <w:rsid w:val="136732AF"/>
    <w:rsid w:val="137B4A3F"/>
    <w:rsid w:val="138A0395"/>
    <w:rsid w:val="13A20F21"/>
    <w:rsid w:val="13A97E7F"/>
    <w:rsid w:val="13B323FC"/>
    <w:rsid w:val="13C453B0"/>
    <w:rsid w:val="13D41CF7"/>
    <w:rsid w:val="13F15A54"/>
    <w:rsid w:val="13FD5C8B"/>
    <w:rsid w:val="14050187"/>
    <w:rsid w:val="140C033D"/>
    <w:rsid w:val="140D2A6D"/>
    <w:rsid w:val="14126B5B"/>
    <w:rsid w:val="141A2765"/>
    <w:rsid w:val="142B7F16"/>
    <w:rsid w:val="14491980"/>
    <w:rsid w:val="14637AB5"/>
    <w:rsid w:val="14816866"/>
    <w:rsid w:val="148B7313"/>
    <w:rsid w:val="148C25FE"/>
    <w:rsid w:val="1499714E"/>
    <w:rsid w:val="14A40973"/>
    <w:rsid w:val="14CE03FD"/>
    <w:rsid w:val="14D73069"/>
    <w:rsid w:val="14E54C4A"/>
    <w:rsid w:val="14E75DF1"/>
    <w:rsid w:val="15121CE7"/>
    <w:rsid w:val="152C628F"/>
    <w:rsid w:val="153C3427"/>
    <w:rsid w:val="153E5C2E"/>
    <w:rsid w:val="155203AB"/>
    <w:rsid w:val="15757C7F"/>
    <w:rsid w:val="157D6C4E"/>
    <w:rsid w:val="158E5AEA"/>
    <w:rsid w:val="159761FE"/>
    <w:rsid w:val="15A71257"/>
    <w:rsid w:val="15D35913"/>
    <w:rsid w:val="15E07012"/>
    <w:rsid w:val="15F14DEF"/>
    <w:rsid w:val="16083949"/>
    <w:rsid w:val="160C22E0"/>
    <w:rsid w:val="1619355A"/>
    <w:rsid w:val="16264105"/>
    <w:rsid w:val="162B23EA"/>
    <w:rsid w:val="16336BFB"/>
    <w:rsid w:val="163A20D3"/>
    <w:rsid w:val="163C5D48"/>
    <w:rsid w:val="16442A8F"/>
    <w:rsid w:val="164E163A"/>
    <w:rsid w:val="165322A4"/>
    <w:rsid w:val="165E61EB"/>
    <w:rsid w:val="16680D09"/>
    <w:rsid w:val="16727717"/>
    <w:rsid w:val="167A19DE"/>
    <w:rsid w:val="16804397"/>
    <w:rsid w:val="16855594"/>
    <w:rsid w:val="168C00F5"/>
    <w:rsid w:val="16B310D0"/>
    <w:rsid w:val="16C554F1"/>
    <w:rsid w:val="17036CE0"/>
    <w:rsid w:val="175030CF"/>
    <w:rsid w:val="17991010"/>
    <w:rsid w:val="17B510F0"/>
    <w:rsid w:val="17BB63C6"/>
    <w:rsid w:val="17BF5676"/>
    <w:rsid w:val="17D41346"/>
    <w:rsid w:val="17D947ED"/>
    <w:rsid w:val="17E356DA"/>
    <w:rsid w:val="17FB73DA"/>
    <w:rsid w:val="18143E48"/>
    <w:rsid w:val="182378A1"/>
    <w:rsid w:val="183160A6"/>
    <w:rsid w:val="18320839"/>
    <w:rsid w:val="184B6B17"/>
    <w:rsid w:val="185A4E0B"/>
    <w:rsid w:val="18B00B75"/>
    <w:rsid w:val="18B34B1D"/>
    <w:rsid w:val="18BB4D51"/>
    <w:rsid w:val="18F4078B"/>
    <w:rsid w:val="1907709C"/>
    <w:rsid w:val="191C4933"/>
    <w:rsid w:val="19322D84"/>
    <w:rsid w:val="194D319A"/>
    <w:rsid w:val="194D33E6"/>
    <w:rsid w:val="19775FAF"/>
    <w:rsid w:val="197E7EC1"/>
    <w:rsid w:val="199A798E"/>
    <w:rsid w:val="19A044BC"/>
    <w:rsid w:val="19B91B04"/>
    <w:rsid w:val="19BA1B8F"/>
    <w:rsid w:val="19C1622F"/>
    <w:rsid w:val="1A0C2310"/>
    <w:rsid w:val="1A0F0344"/>
    <w:rsid w:val="1A50145F"/>
    <w:rsid w:val="1A643357"/>
    <w:rsid w:val="1A690678"/>
    <w:rsid w:val="1A8C393D"/>
    <w:rsid w:val="1AB057E6"/>
    <w:rsid w:val="1ADE782E"/>
    <w:rsid w:val="1AE419DF"/>
    <w:rsid w:val="1AE66911"/>
    <w:rsid w:val="1AEC2E03"/>
    <w:rsid w:val="1B0F4977"/>
    <w:rsid w:val="1B133656"/>
    <w:rsid w:val="1B4C6BD3"/>
    <w:rsid w:val="1B655004"/>
    <w:rsid w:val="1B6F118C"/>
    <w:rsid w:val="1B776BE1"/>
    <w:rsid w:val="1B79317C"/>
    <w:rsid w:val="1B850160"/>
    <w:rsid w:val="1BAD1BA9"/>
    <w:rsid w:val="1BB075AE"/>
    <w:rsid w:val="1BBB0BC8"/>
    <w:rsid w:val="1BC45BEE"/>
    <w:rsid w:val="1BCF433C"/>
    <w:rsid w:val="1BEB4B53"/>
    <w:rsid w:val="1BF27673"/>
    <w:rsid w:val="1C1E56D0"/>
    <w:rsid w:val="1C316406"/>
    <w:rsid w:val="1C32098F"/>
    <w:rsid w:val="1C3215DD"/>
    <w:rsid w:val="1C394A3C"/>
    <w:rsid w:val="1C4147AB"/>
    <w:rsid w:val="1C4C3E04"/>
    <w:rsid w:val="1C9B2170"/>
    <w:rsid w:val="1CA17973"/>
    <w:rsid w:val="1CA513CD"/>
    <w:rsid w:val="1CAE6C4C"/>
    <w:rsid w:val="1CC05A03"/>
    <w:rsid w:val="1CC750B2"/>
    <w:rsid w:val="1CCB6270"/>
    <w:rsid w:val="1CEA0B9B"/>
    <w:rsid w:val="1D132C89"/>
    <w:rsid w:val="1D38238F"/>
    <w:rsid w:val="1D3F5138"/>
    <w:rsid w:val="1D43286A"/>
    <w:rsid w:val="1D7F7380"/>
    <w:rsid w:val="1D837934"/>
    <w:rsid w:val="1D876168"/>
    <w:rsid w:val="1D9E6E40"/>
    <w:rsid w:val="1DC735BA"/>
    <w:rsid w:val="1DCF713F"/>
    <w:rsid w:val="1DD64509"/>
    <w:rsid w:val="1DE05EB7"/>
    <w:rsid w:val="1DE5578F"/>
    <w:rsid w:val="1DFE5485"/>
    <w:rsid w:val="1E045AF5"/>
    <w:rsid w:val="1E0F008B"/>
    <w:rsid w:val="1E305374"/>
    <w:rsid w:val="1E384F8E"/>
    <w:rsid w:val="1E427F2D"/>
    <w:rsid w:val="1E4C7D30"/>
    <w:rsid w:val="1E7D38DE"/>
    <w:rsid w:val="1E9639DF"/>
    <w:rsid w:val="1EA7791D"/>
    <w:rsid w:val="1EB41FAE"/>
    <w:rsid w:val="1EBF3882"/>
    <w:rsid w:val="1ECA5336"/>
    <w:rsid w:val="1EEC0A59"/>
    <w:rsid w:val="1EFE3CD0"/>
    <w:rsid w:val="1F1507AF"/>
    <w:rsid w:val="1F161863"/>
    <w:rsid w:val="1F2C1B1A"/>
    <w:rsid w:val="1F3F7E23"/>
    <w:rsid w:val="1F523FDB"/>
    <w:rsid w:val="1F5814EC"/>
    <w:rsid w:val="1F5F7CC1"/>
    <w:rsid w:val="1F6272E1"/>
    <w:rsid w:val="1F6645CB"/>
    <w:rsid w:val="1F673EE3"/>
    <w:rsid w:val="1FC021A3"/>
    <w:rsid w:val="1FD37762"/>
    <w:rsid w:val="1FEB7356"/>
    <w:rsid w:val="201D5F97"/>
    <w:rsid w:val="20277CE5"/>
    <w:rsid w:val="2035397F"/>
    <w:rsid w:val="20572AFF"/>
    <w:rsid w:val="2083155B"/>
    <w:rsid w:val="2093290B"/>
    <w:rsid w:val="209A1225"/>
    <w:rsid w:val="21280F6B"/>
    <w:rsid w:val="21283DC1"/>
    <w:rsid w:val="212A36C8"/>
    <w:rsid w:val="2130301A"/>
    <w:rsid w:val="21432A77"/>
    <w:rsid w:val="217A5ABE"/>
    <w:rsid w:val="21827B42"/>
    <w:rsid w:val="21D56E04"/>
    <w:rsid w:val="21DE0377"/>
    <w:rsid w:val="21EA0742"/>
    <w:rsid w:val="21EF5C11"/>
    <w:rsid w:val="220157DA"/>
    <w:rsid w:val="22174B18"/>
    <w:rsid w:val="22264CCB"/>
    <w:rsid w:val="22517F0E"/>
    <w:rsid w:val="22590288"/>
    <w:rsid w:val="22776456"/>
    <w:rsid w:val="227821CE"/>
    <w:rsid w:val="22B30063"/>
    <w:rsid w:val="22DB3FFB"/>
    <w:rsid w:val="22E53CFD"/>
    <w:rsid w:val="22E7591F"/>
    <w:rsid w:val="22E97CB3"/>
    <w:rsid w:val="22F6166E"/>
    <w:rsid w:val="22F83315"/>
    <w:rsid w:val="230C273D"/>
    <w:rsid w:val="23281F36"/>
    <w:rsid w:val="233C4B1C"/>
    <w:rsid w:val="2362243E"/>
    <w:rsid w:val="23741634"/>
    <w:rsid w:val="23991C0B"/>
    <w:rsid w:val="23A30346"/>
    <w:rsid w:val="23AF01E8"/>
    <w:rsid w:val="23AF5D19"/>
    <w:rsid w:val="23B70711"/>
    <w:rsid w:val="23BA05F7"/>
    <w:rsid w:val="23BA34CA"/>
    <w:rsid w:val="23BC4F39"/>
    <w:rsid w:val="23DF13DF"/>
    <w:rsid w:val="23E500F3"/>
    <w:rsid w:val="24025F41"/>
    <w:rsid w:val="240D7639"/>
    <w:rsid w:val="240F60DE"/>
    <w:rsid w:val="243B46E9"/>
    <w:rsid w:val="24445E0D"/>
    <w:rsid w:val="246452B0"/>
    <w:rsid w:val="247300E2"/>
    <w:rsid w:val="24AE207B"/>
    <w:rsid w:val="24B505FC"/>
    <w:rsid w:val="24BB4F69"/>
    <w:rsid w:val="24CE74C8"/>
    <w:rsid w:val="24DA4B7A"/>
    <w:rsid w:val="24F139F0"/>
    <w:rsid w:val="252F6651"/>
    <w:rsid w:val="25310035"/>
    <w:rsid w:val="25385D54"/>
    <w:rsid w:val="253B3588"/>
    <w:rsid w:val="25541FF0"/>
    <w:rsid w:val="25613F4E"/>
    <w:rsid w:val="256849EF"/>
    <w:rsid w:val="257D0AB2"/>
    <w:rsid w:val="25805509"/>
    <w:rsid w:val="259E552F"/>
    <w:rsid w:val="25D216E5"/>
    <w:rsid w:val="25E2017B"/>
    <w:rsid w:val="2624798C"/>
    <w:rsid w:val="263A5013"/>
    <w:rsid w:val="263B066E"/>
    <w:rsid w:val="263D3F60"/>
    <w:rsid w:val="2640565C"/>
    <w:rsid w:val="26421856"/>
    <w:rsid w:val="264F6681"/>
    <w:rsid w:val="265B640A"/>
    <w:rsid w:val="265B78B8"/>
    <w:rsid w:val="26677914"/>
    <w:rsid w:val="26686626"/>
    <w:rsid w:val="2679122C"/>
    <w:rsid w:val="267E3E85"/>
    <w:rsid w:val="268255B5"/>
    <w:rsid w:val="26A8187E"/>
    <w:rsid w:val="26AC64C2"/>
    <w:rsid w:val="26D217E0"/>
    <w:rsid w:val="26D92D8E"/>
    <w:rsid w:val="26E756B5"/>
    <w:rsid w:val="26F26520"/>
    <w:rsid w:val="27106BB1"/>
    <w:rsid w:val="2738087E"/>
    <w:rsid w:val="27384934"/>
    <w:rsid w:val="27472992"/>
    <w:rsid w:val="274C6D5B"/>
    <w:rsid w:val="276224B4"/>
    <w:rsid w:val="276369EE"/>
    <w:rsid w:val="27843570"/>
    <w:rsid w:val="278D3D9A"/>
    <w:rsid w:val="278E11AF"/>
    <w:rsid w:val="279948D8"/>
    <w:rsid w:val="279E5C87"/>
    <w:rsid w:val="27B37802"/>
    <w:rsid w:val="27C94471"/>
    <w:rsid w:val="27E54321"/>
    <w:rsid w:val="27E85A9A"/>
    <w:rsid w:val="27EE4106"/>
    <w:rsid w:val="28096E54"/>
    <w:rsid w:val="28200235"/>
    <w:rsid w:val="282C6EF7"/>
    <w:rsid w:val="2830041B"/>
    <w:rsid w:val="28476ABB"/>
    <w:rsid w:val="285B6C9C"/>
    <w:rsid w:val="28675CFF"/>
    <w:rsid w:val="288B6CF1"/>
    <w:rsid w:val="289949FD"/>
    <w:rsid w:val="28B06C28"/>
    <w:rsid w:val="28B10906"/>
    <w:rsid w:val="28C030A8"/>
    <w:rsid w:val="28C512D7"/>
    <w:rsid w:val="28E61190"/>
    <w:rsid w:val="28E752D5"/>
    <w:rsid w:val="28F84057"/>
    <w:rsid w:val="28FB51D5"/>
    <w:rsid w:val="29056B61"/>
    <w:rsid w:val="29156420"/>
    <w:rsid w:val="293636BA"/>
    <w:rsid w:val="29654520"/>
    <w:rsid w:val="297A7632"/>
    <w:rsid w:val="2996198C"/>
    <w:rsid w:val="29C47EB0"/>
    <w:rsid w:val="29D26A74"/>
    <w:rsid w:val="29DC1BDB"/>
    <w:rsid w:val="29F71E6E"/>
    <w:rsid w:val="29F95C39"/>
    <w:rsid w:val="2A011E15"/>
    <w:rsid w:val="2A11602C"/>
    <w:rsid w:val="2A1C47DF"/>
    <w:rsid w:val="2A212850"/>
    <w:rsid w:val="2A2F7068"/>
    <w:rsid w:val="2A311ED8"/>
    <w:rsid w:val="2A37668E"/>
    <w:rsid w:val="2A405FA8"/>
    <w:rsid w:val="2A5F7448"/>
    <w:rsid w:val="2A650986"/>
    <w:rsid w:val="2A6D00D3"/>
    <w:rsid w:val="2AB66B90"/>
    <w:rsid w:val="2ABC778F"/>
    <w:rsid w:val="2AC83817"/>
    <w:rsid w:val="2ACA3407"/>
    <w:rsid w:val="2AD22E2C"/>
    <w:rsid w:val="2B3544EF"/>
    <w:rsid w:val="2B691D02"/>
    <w:rsid w:val="2B72718E"/>
    <w:rsid w:val="2B762F4B"/>
    <w:rsid w:val="2B7A16F9"/>
    <w:rsid w:val="2B80231C"/>
    <w:rsid w:val="2B836B79"/>
    <w:rsid w:val="2B886BD8"/>
    <w:rsid w:val="2B8B787D"/>
    <w:rsid w:val="2B8D3F76"/>
    <w:rsid w:val="2B9D7E86"/>
    <w:rsid w:val="2BAB6119"/>
    <w:rsid w:val="2BBF4B0F"/>
    <w:rsid w:val="2BCE7B9E"/>
    <w:rsid w:val="2BF10A29"/>
    <w:rsid w:val="2C166738"/>
    <w:rsid w:val="2C3A05CF"/>
    <w:rsid w:val="2C605D57"/>
    <w:rsid w:val="2C7F49CE"/>
    <w:rsid w:val="2C805741"/>
    <w:rsid w:val="2C89295F"/>
    <w:rsid w:val="2CAA2F6C"/>
    <w:rsid w:val="2CAB1132"/>
    <w:rsid w:val="2CAE0F8F"/>
    <w:rsid w:val="2CC00534"/>
    <w:rsid w:val="2CF26F28"/>
    <w:rsid w:val="2D261309"/>
    <w:rsid w:val="2D2B1431"/>
    <w:rsid w:val="2D3A5FA1"/>
    <w:rsid w:val="2D3C73A5"/>
    <w:rsid w:val="2D7A712B"/>
    <w:rsid w:val="2D7F6F21"/>
    <w:rsid w:val="2D86070D"/>
    <w:rsid w:val="2D8F2155"/>
    <w:rsid w:val="2D8F5892"/>
    <w:rsid w:val="2DC80216"/>
    <w:rsid w:val="2DD059B7"/>
    <w:rsid w:val="2E0A2685"/>
    <w:rsid w:val="2E1C3B55"/>
    <w:rsid w:val="2E244B92"/>
    <w:rsid w:val="2E301A69"/>
    <w:rsid w:val="2E3110B1"/>
    <w:rsid w:val="2E4F0764"/>
    <w:rsid w:val="2E647745"/>
    <w:rsid w:val="2EB6442B"/>
    <w:rsid w:val="2ECB010F"/>
    <w:rsid w:val="2ED11E06"/>
    <w:rsid w:val="2ED13AE9"/>
    <w:rsid w:val="2EDF365D"/>
    <w:rsid w:val="2EFF48DB"/>
    <w:rsid w:val="2F162980"/>
    <w:rsid w:val="2F2C726E"/>
    <w:rsid w:val="2F450F91"/>
    <w:rsid w:val="2F4B30E7"/>
    <w:rsid w:val="2F536A09"/>
    <w:rsid w:val="2F5628D9"/>
    <w:rsid w:val="2F570C04"/>
    <w:rsid w:val="2F68454B"/>
    <w:rsid w:val="2F6E5178"/>
    <w:rsid w:val="2F6F5435"/>
    <w:rsid w:val="2FA03052"/>
    <w:rsid w:val="2FAB4398"/>
    <w:rsid w:val="2FBB63AA"/>
    <w:rsid w:val="2FCC1562"/>
    <w:rsid w:val="2FEB469E"/>
    <w:rsid w:val="300E487C"/>
    <w:rsid w:val="301F186B"/>
    <w:rsid w:val="305F2D07"/>
    <w:rsid w:val="306326A1"/>
    <w:rsid w:val="30796128"/>
    <w:rsid w:val="308B2230"/>
    <w:rsid w:val="309A69AA"/>
    <w:rsid w:val="30A26815"/>
    <w:rsid w:val="30A338F5"/>
    <w:rsid w:val="30A73838"/>
    <w:rsid w:val="30BD0BCE"/>
    <w:rsid w:val="30CF4562"/>
    <w:rsid w:val="30EA7A7A"/>
    <w:rsid w:val="30F913DF"/>
    <w:rsid w:val="3112642B"/>
    <w:rsid w:val="31160E7F"/>
    <w:rsid w:val="311624C1"/>
    <w:rsid w:val="31165308"/>
    <w:rsid w:val="311D695D"/>
    <w:rsid w:val="31450C09"/>
    <w:rsid w:val="31616FE5"/>
    <w:rsid w:val="31721E0B"/>
    <w:rsid w:val="31785ADD"/>
    <w:rsid w:val="317A57AC"/>
    <w:rsid w:val="31E155A2"/>
    <w:rsid w:val="31F0605E"/>
    <w:rsid w:val="31FD236D"/>
    <w:rsid w:val="32005795"/>
    <w:rsid w:val="320D7653"/>
    <w:rsid w:val="32167BBB"/>
    <w:rsid w:val="32351B3E"/>
    <w:rsid w:val="323B1921"/>
    <w:rsid w:val="32B9185B"/>
    <w:rsid w:val="32C03874"/>
    <w:rsid w:val="32C44DF3"/>
    <w:rsid w:val="32CE6677"/>
    <w:rsid w:val="332253D2"/>
    <w:rsid w:val="33512BBA"/>
    <w:rsid w:val="3359701A"/>
    <w:rsid w:val="337A4A67"/>
    <w:rsid w:val="33A25EC0"/>
    <w:rsid w:val="33E11323"/>
    <w:rsid w:val="340659C1"/>
    <w:rsid w:val="342B1138"/>
    <w:rsid w:val="342B38C6"/>
    <w:rsid w:val="342E5A41"/>
    <w:rsid w:val="343D5CF3"/>
    <w:rsid w:val="34675B85"/>
    <w:rsid w:val="34691D0C"/>
    <w:rsid w:val="348867E6"/>
    <w:rsid w:val="34A84C5A"/>
    <w:rsid w:val="34C23891"/>
    <w:rsid w:val="34F30DDF"/>
    <w:rsid w:val="350D0C3D"/>
    <w:rsid w:val="35274675"/>
    <w:rsid w:val="353D3231"/>
    <w:rsid w:val="354F5D17"/>
    <w:rsid w:val="355B42E2"/>
    <w:rsid w:val="355E1F06"/>
    <w:rsid w:val="356248FB"/>
    <w:rsid w:val="35690796"/>
    <w:rsid w:val="35CE4CCB"/>
    <w:rsid w:val="35E63728"/>
    <w:rsid w:val="35EA3A88"/>
    <w:rsid w:val="3620192F"/>
    <w:rsid w:val="36AF3FF7"/>
    <w:rsid w:val="36B606BE"/>
    <w:rsid w:val="36BC3900"/>
    <w:rsid w:val="36CD1672"/>
    <w:rsid w:val="36EC6196"/>
    <w:rsid w:val="371234AC"/>
    <w:rsid w:val="37241DA0"/>
    <w:rsid w:val="37262F0C"/>
    <w:rsid w:val="37402EFB"/>
    <w:rsid w:val="374F15F8"/>
    <w:rsid w:val="374F63FE"/>
    <w:rsid w:val="375678E1"/>
    <w:rsid w:val="37850E9E"/>
    <w:rsid w:val="37A14F49"/>
    <w:rsid w:val="37A64CEC"/>
    <w:rsid w:val="37AA6282"/>
    <w:rsid w:val="37F046AF"/>
    <w:rsid w:val="381C2C44"/>
    <w:rsid w:val="382F3E55"/>
    <w:rsid w:val="383303B2"/>
    <w:rsid w:val="384F0E62"/>
    <w:rsid w:val="385174E5"/>
    <w:rsid w:val="38591C77"/>
    <w:rsid w:val="386B5D1F"/>
    <w:rsid w:val="38773A25"/>
    <w:rsid w:val="38957BA7"/>
    <w:rsid w:val="38A5432F"/>
    <w:rsid w:val="38B3345E"/>
    <w:rsid w:val="38CE6C87"/>
    <w:rsid w:val="38D019A4"/>
    <w:rsid w:val="38DE78EC"/>
    <w:rsid w:val="38F210CC"/>
    <w:rsid w:val="38FE59EF"/>
    <w:rsid w:val="392229AC"/>
    <w:rsid w:val="392B3C0C"/>
    <w:rsid w:val="392D4E34"/>
    <w:rsid w:val="393677BA"/>
    <w:rsid w:val="3942743C"/>
    <w:rsid w:val="394617C2"/>
    <w:rsid w:val="395C264D"/>
    <w:rsid w:val="39701D8F"/>
    <w:rsid w:val="39794E35"/>
    <w:rsid w:val="397A1735"/>
    <w:rsid w:val="397F5DBA"/>
    <w:rsid w:val="399D284F"/>
    <w:rsid w:val="39A53ECA"/>
    <w:rsid w:val="39BD67F8"/>
    <w:rsid w:val="39BE20EC"/>
    <w:rsid w:val="3A051944"/>
    <w:rsid w:val="3A164C99"/>
    <w:rsid w:val="3A1A7A23"/>
    <w:rsid w:val="3A224DD3"/>
    <w:rsid w:val="3A2C0F2C"/>
    <w:rsid w:val="3A361601"/>
    <w:rsid w:val="3A4211CB"/>
    <w:rsid w:val="3A5C05E2"/>
    <w:rsid w:val="3A684FF4"/>
    <w:rsid w:val="3A8D6FFE"/>
    <w:rsid w:val="3A905190"/>
    <w:rsid w:val="3AB5664B"/>
    <w:rsid w:val="3B2834F7"/>
    <w:rsid w:val="3B4671A2"/>
    <w:rsid w:val="3B6400EA"/>
    <w:rsid w:val="3B7544BA"/>
    <w:rsid w:val="3B9615D5"/>
    <w:rsid w:val="3B996C7A"/>
    <w:rsid w:val="3BA22A5B"/>
    <w:rsid w:val="3BD27691"/>
    <w:rsid w:val="3BF85A5C"/>
    <w:rsid w:val="3C06086D"/>
    <w:rsid w:val="3C0F02A4"/>
    <w:rsid w:val="3C1E08D4"/>
    <w:rsid w:val="3C330F61"/>
    <w:rsid w:val="3C355916"/>
    <w:rsid w:val="3C517D0D"/>
    <w:rsid w:val="3C6B6A63"/>
    <w:rsid w:val="3C9760C5"/>
    <w:rsid w:val="3C984482"/>
    <w:rsid w:val="3CA37F62"/>
    <w:rsid w:val="3CAF71D3"/>
    <w:rsid w:val="3CB31CB8"/>
    <w:rsid w:val="3CC92302"/>
    <w:rsid w:val="3CF738CA"/>
    <w:rsid w:val="3CFA61B1"/>
    <w:rsid w:val="3D2110F1"/>
    <w:rsid w:val="3D250D18"/>
    <w:rsid w:val="3D356DE3"/>
    <w:rsid w:val="3D4D77A0"/>
    <w:rsid w:val="3D4F618E"/>
    <w:rsid w:val="3D69134E"/>
    <w:rsid w:val="3D73041F"/>
    <w:rsid w:val="3D796C9E"/>
    <w:rsid w:val="3DA019FE"/>
    <w:rsid w:val="3DA66EC9"/>
    <w:rsid w:val="3DAA4418"/>
    <w:rsid w:val="3DF079B9"/>
    <w:rsid w:val="3DFC538A"/>
    <w:rsid w:val="3E096D1E"/>
    <w:rsid w:val="3E3728AA"/>
    <w:rsid w:val="3E3A6D43"/>
    <w:rsid w:val="3E3C468F"/>
    <w:rsid w:val="3E3D6019"/>
    <w:rsid w:val="3E3F119F"/>
    <w:rsid w:val="3E442503"/>
    <w:rsid w:val="3E4923CA"/>
    <w:rsid w:val="3E551345"/>
    <w:rsid w:val="3E6E0D57"/>
    <w:rsid w:val="3E767C7A"/>
    <w:rsid w:val="3E7A5493"/>
    <w:rsid w:val="3EA4797A"/>
    <w:rsid w:val="3EBC6DF2"/>
    <w:rsid w:val="3F1E2615"/>
    <w:rsid w:val="3F1F4419"/>
    <w:rsid w:val="3F250266"/>
    <w:rsid w:val="3F334ADA"/>
    <w:rsid w:val="3F5675F4"/>
    <w:rsid w:val="3F680422"/>
    <w:rsid w:val="3F6B3D2C"/>
    <w:rsid w:val="3F821A48"/>
    <w:rsid w:val="3F962587"/>
    <w:rsid w:val="3F974EDB"/>
    <w:rsid w:val="3FA36A9A"/>
    <w:rsid w:val="3FA71E6D"/>
    <w:rsid w:val="3FC53100"/>
    <w:rsid w:val="3FEE48C6"/>
    <w:rsid w:val="3FF820F3"/>
    <w:rsid w:val="40094BF8"/>
    <w:rsid w:val="403D1345"/>
    <w:rsid w:val="40582D76"/>
    <w:rsid w:val="406319DE"/>
    <w:rsid w:val="4064551B"/>
    <w:rsid w:val="40724465"/>
    <w:rsid w:val="407E552A"/>
    <w:rsid w:val="40AE055B"/>
    <w:rsid w:val="40C67074"/>
    <w:rsid w:val="40E07C0F"/>
    <w:rsid w:val="40F17074"/>
    <w:rsid w:val="41147F42"/>
    <w:rsid w:val="411755AB"/>
    <w:rsid w:val="414004A4"/>
    <w:rsid w:val="41454DB6"/>
    <w:rsid w:val="416042BB"/>
    <w:rsid w:val="41633413"/>
    <w:rsid w:val="41696E1F"/>
    <w:rsid w:val="416B081F"/>
    <w:rsid w:val="41723D7C"/>
    <w:rsid w:val="418D4946"/>
    <w:rsid w:val="418F4669"/>
    <w:rsid w:val="419E7BF0"/>
    <w:rsid w:val="41BD5252"/>
    <w:rsid w:val="41E35BBA"/>
    <w:rsid w:val="42021AEF"/>
    <w:rsid w:val="42140778"/>
    <w:rsid w:val="42150BBA"/>
    <w:rsid w:val="423A582E"/>
    <w:rsid w:val="42554D1D"/>
    <w:rsid w:val="42583354"/>
    <w:rsid w:val="42685541"/>
    <w:rsid w:val="428B2F7E"/>
    <w:rsid w:val="42A64D22"/>
    <w:rsid w:val="42AB42BF"/>
    <w:rsid w:val="42C43EE6"/>
    <w:rsid w:val="42CE701B"/>
    <w:rsid w:val="42D85DB7"/>
    <w:rsid w:val="42E354EC"/>
    <w:rsid w:val="42E832DE"/>
    <w:rsid w:val="42FB7E7F"/>
    <w:rsid w:val="430C1D48"/>
    <w:rsid w:val="431E6AF3"/>
    <w:rsid w:val="43413B7B"/>
    <w:rsid w:val="43524555"/>
    <w:rsid w:val="43640F70"/>
    <w:rsid w:val="436A6A1E"/>
    <w:rsid w:val="436E51DA"/>
    <w:rsid w:val="438A7147"/>
    <w:rsid w:val="43922D92"/>
    <w:rsid w:val="439C6947"/>
    <w:rsid w:val="43B440EE"/>
    <w:rsid w:val="43C94826"/>
    <w:rsid w:val="43DD2C11"/>
    <w:rsid w:val="43F34341"/>
    <w:rsid w:val="442723BC"/>
    <w:rsid w:val="4432125A"/>
    <w:rsid w:val="44511364"/>
    <w:rsid w:val="44516F3D"/>
    <w:rsid w:val="445C01E0"/>
    <w:rsid w:val="44762A61"/>
    <w:rsid w:val="44960266"/>
    <w:rsid w:val="44AB4AD4"/>
    <w:rsid w:val="44B1329D"/>
    <w:rsid w:val="44B66E8A"/>
    <w:rsid w:val="44C11BD7"/>
    <w:rsid w:val="44C70D28"/>
    <w:rsid w:val="44E3053F"/>
    <w:rsid w:val="44E46682"/>
    <w:rsid w:val="44EE3D02"/>
    <w:rsid w:val="452E1C3D"/>
    <w:rsid w:val="45496F5A"/>
    <w:rsid w:val="454E45B6"/>
    <w:rsid w:val="45694F1A"/>
    <w:rsid w:val="45785484"/>
    <w:rsid w:val="458E6E21"/>
    <w:rsid w:val="45941A86"/>
    <w:rsid w:val="45B02047"/>
    <w:rsid w:val="45CA2B79"/>
    <w:rsid w:val="45FC0C31"/>
    <w:rsid w:val="461D4BCF"/>
    <w:rsid w:val="461F5BF5"/>
    <w:rsid w:val="46262D84"/>
    <w:rsid w:val="462C7DCA"/>
    <w:rsid w:val="4631154C"/>
    <w:rsid w:val="46355262"/>
    <w:rsid w:val="463E0388"/>
    <w:rsid w:val="46406F6B"/>
    <w:rsid w:val="464D6F6F"/>
    <w:rsid w:val="465B524A"/>
    <w:rsid w:val="466B2963"/>
    <w:rsid w:val="466B51E7"/>
    <w:rsid w:val="466F234F"/>
    <w:rsid w:val="467A6E56"/>
    <w:rsid w:val="469626CC"/>
    <w:rsid w:val="46994237"/>
    <w:rsid w:val="46B64789"/>
    <w:rsid w:val="46CA3D8F"/>
    <w:rsid w:val="46D74DAB"/>
    <w:rsid w:val="46DE28A9"/>
    <w:rsid w:val="46DE7056"/>
    <w:rsid w:val="46F31F04"/>
    <w:rsid w:val="46F90EF0"/>
    <w:rsid w:val="4703731B"/>
    <w:rsid w:val="471C5027"/>
    <w:rsid w:val="47234C01"/>
    <w:rsid w:val="473320A5"/>
    <w:rsid w:val="474661FE"/>
    <w:rsid w:val="475705C8"/>
    <w:rsid w:val="475E2CBA"/>
    <w:rsid w:val="477E7DFD"/>
    <w:rsid w:val="478140BA"/>
    <w:rsid w:val="47B05089"/>
    <w:rsid w:val="47BF13AF"/>
    <w:rsid w:val="47CF5E61"/>
    <w:rsid w:val="48125321"/>
    <w:rsid w:val="482B6BD9"/>
    <w:rsid w:val="484736E0"/>
    <w:rsid w:val="484A4DD7"/>
    <w:rsid w:val="4866784F"/>
    <w:rsid w:val="486D572D"/>
    <w:rsid w:val="48705D8B"/>
    <w:rsid w:val="487648CB"/>
    <w:rsid w:val="48AE7199"/>
    <w:rsid w:val="48D47BC2"/>
    <w:rsid w:val="48EA76B0"/>
    <w:rsid w:val="490D0C51"/>
    <w:rsid w:val="49436329"/>
    <w:rsid w:val="494E17F4"/>
    <w:rsid w:val="495521F8"/>
    <w:rsid w:val="497C5E18"/>
    <w:rsid w:val="49815A51"/>
    <w:rsid w:val="49862C60"/>
    <w:rsid w:val="498D28B4"/>
    <w:rsid w:val="498F031D"/>
    <w:rsid w:val="499978B3"/>
    <w:rsid w:val="49B43FF2"/>
    <w:rsid w:val="49BE2DCD"/>
    <w:rsid w:val="49D41C4F"/>
    <w:rsid w:val="49E37D4C"/>
    <w:rsid w:val="49E60A50"/>
    <w:rsid w:val="49ED54E3"/>
    <w:rsid w:val="49FB01AB"/>
    <w:rsid w:val="49FC65A5"/>
    <w:rsid w:val="4A0111EF"/>
    <w:rsid w:val="4A0133A8"/>
    <w:rsid w:val="4A24027C"/>
    <w:rsid w:val="4A563F2C"/>
    <w:rsid w:val="4A7416A0"/>
    <w:rsid w:val="4A8C270D"/>
    <w:rsid w:val="4A8D2C5C"/>
    <w:rsid w:val="4A9F2953"/>
    <w:rsid w:val="4AA0458F"/>
    <w:rsid w:val="4AA61ECF"/>
    <w:rsid w:val="4AA71A88"/>
    <w:rsid w:val="4AE6320C"/>
    <w:rsid w:val="4AF0638F"/>
    <w:rsid w:val="4AF85B33"/>
    <w:rsid w:val="4AFC16B3"/>
    <w:rsid w:val="4AFF25F5"/>
    <w:rsid w:val="4B25424E"/>
    <w:rsid w:val="4B722FF2"/>
    <w:rsid w:val="4BA65EAC"/>
    <w:rsid w:val="4BB006E5"/>
    <w:rsid w:val="4BB059A0"/>
    <w:rsid w:val="4BB5717A"/>
    <w:rsid w:val="4BC402A7"/>
    <w:rsid w:val="4BF50EA7"/>
    <w:rsid w:val="4C030FCF"/>
    <w:rsid w:val="4C4A4856"/>
    <w:rsid w:val="4C5C7E48"/>
    <w:rsid w:val="4C641376"/>
    <w:rsid w:val="4C735236"/>
    <w:rsid w:val="4C8F0DE9"/>
    <w:rsid w:val="4CBD796F"/>
    <w:rsid w:val="4CC13489"/>
    <w:rsid w:val="4CC85671"/>
    <w:rsid w:val="4CD859E2"/>
    <w:rsid w:val="4D00374B"/>
    <w:rsid w:val="4D135E34"/>
    <w:rsid w:val="4D142D34"/>
    <w:rsid w:val="4D2C0F5D"/>
    <w:rsid w:val="4D41297D"/>
    <w:rsid w:val="4D5071D3"/>
    <w:rsid w:val="4D5901E2"/>
    <w:rsid w:val="4D8D76CF"/>
    <w:rsid w:val="4D9952C2"/>
    <w:rsid w:val="4DA2126A"/>
    <w:rsid w:val="4DB12BD1"/>
    <w:rsid w:val="4DB53485"/>
    <w:rsid w:val="4DD331F5"/>
    <w:rsid w:val="4DD55A3D"/>
    <w:rsid w:val="4DF874CF"/>
    <w:rsid w:val="4E0849B8"/>
    <w:rsid w:val="4E2F1F4C"/>
    <w:rsid w:val="4E304569"/>
    <w:rsid w:val="4E4B3EE3"/>
    <w:rsid w:val="4E541901"/>
    <w:rsid w:val="4E7B669D"/>
    <w:rsid w:val="4E8648A2"/>
    <w:rsid w:val="4E8805E2"/>
    <w:rsid w:val="4EB44C13"/>
    <w:rsid w:val="4EBB5ABE"/>
    <w:rsid w:val="4EBC6108"/>
    <w:rsid w:val="4EBF7A92"/>
    <w:rsid w:val="4ED0337F"/>
    <w:rsid w:val="4ED103BA"/>
    <w:rsid w:val="4ED22487"/>
    <w:rsid w:val="4EEB5D5A"/>
    <w:rsid w:val="4F4375D4"/>
    <w:rsid w:val="4F525795"/>
    <w:rsid w:val="4F8D18A5"/>
    <w:rsid w:val="4F93218E"/>
    <w:rsid w:val="4F947F5F"/>
    <w:rsid w:val="4FBD04F9"/>
    <w:rsid w:val="4FFB6F1B"/>
    <w:rsid w:val="501C3A50"/>
    <w:rsid w:val="501F5F82"/>
    <w:rsid w:val="502C6BFE"/>
    <w:rsid w:val="504D1837"/>
    <w:rsid w:val="505E18F4"/>
    <w:rsid w:val="50923C93"/>
    <w:rsid w:val="50BB2C80"/>
    <w:rsid w:val="50BE3510"/>
    <w:rsid w:val="50E35899"/>
    <w:rsid w:val="51142518"/>
    <w:rsid w:val="51275108"/>
    <w:rsid w:val="512F2EA1"/>
    <w:rsid w:val="51627754"/>
    <w:rsid w:val="5165503A"/>
    <w:rsid w:val="517D233F"/>
    <w:rsid w:val="51B43DD3"/>
    <w:rsid w:val="51B5159F"/>
    <w:rsid w:val="51D242ED"/>
    <w:rsid w:val="51E622CF"/>
    <w:rsid w:val="51EE2EEE"/>
    <w:rsid w:val="522F0757"/>
    <w:rsid w:val="525830F6"/>
    <w:rsid w:val="528503F7"/>
    <w:rsid w:val="528564ED"/>
    <w:rsid w:val="528D0D84"/>
    <w:rsid w:val="529B6CC3"/>
    <w:rsid w:val="529D3365"/>
    <w:rsid w:val="52B8207F"/>
    <w:rsid w:val="52BF53B3"/>
    <w:rsid w:val="52D60F11"/>
    <w:rsid w:val="52F70701"/>
    <w:rsid w:val="52FD3798"/>
    <w:rsid w:val="53036157"/>
    <w:rsid w:val="530A03E2"/>
    <w:rsid w:val="5329480D"/>
    <w:rsid w:val="533656B4"/>
    <w:rsid w:val="533A72D2"/>
    <w:rsid w:val="53466802"/>
    <w:rsid w:val="53514987"/>
    <w:rsid w:val="53673897"/>
    <w:rsid w:val="53700295"/>
    <w:rsid w:val="538B63E5"/>
    <w:rsid w:val="539C215C"/>
    <w:rsid w:val="53A22979"/>
    <w:rsid w:val="53A23BA8"/>
    <w:rsid w:val="53A45569"/>
    <w:rsid w:val="53B375E7"/>
    <w:rsid w:val="53B77D76"/>
    <w:rsid w:val="53C115A8"/>
    <w:rsid w:val="53DB0FFF"/>
    <w:rsid w:val="53EE5E3B"/>
    <w:rsid w:val="53F114BC"/>
    <w:rsid w:val="54005176"/>
    <w:rsid w:val="54174C88"/>
    <w:rsid w:val="54221E45"/>
    <w:rsid w:val="54360F93"/>
    <w:rsid w:val="544A7F72"/>
    <w:rsid w:val="5455288E"/>
    <w:rsid w:val="546623DE"/>
    <w:rsid w:val="548A534D"/>
    <w:rsid w:val="548C570A"/>
    <w:rsid w:val="54A51ED9"/>
    <w:rsid w:val="54B54A7D"/>
    <w:rsid w:val="550148E2"/>
    <w:rsid w:val="552D4396"/>
    <w:rsid w:val="553637B1"/>
    <w:rsid w:val="554B32C0"/>
    <w:rsid w:val="557F3544"/>
    <w:rsid w:val="559668DC"/>
    <w:rsid w:val="559E1872"/>
    <w:rsid w:val="55A450D5"/>
    <w:rsid w:val="55B9733C"/>
    <w:rsid w:val="55F26E27"/>
    <w:rsid w:val="55FC196F"/>
    <w:rsid w:val="56006BCE"/>
    <w:rsid w:val="561511E6"/>
    <w:rsid w:val="56396761"/>
    <w:rsid w:val="563D31D5"/>
    <w:rsid w:val="564330AA"/>
    <w:rsid w:val="56625BDE"/>
    <w:rsid w:val="567E1876"/>
    <w:rsid w:val="56884B58"/>
    <w:rsid w:val="568C3ED9"/>
    <w:rsid w:val="56B70564"/>
    <w:rsid w:val="56B812EC"/>
    <w:rsid w:val="56B9541F"/>
    <w:rsid w:val="56BD2106"/>
    <w:rsid w:val="56CB4933"/>
    <w:rsid w:val="56F21F9C"/>
    <w:rsid w:val="573645D7"/>
    <w:rsid w:val="57661B56"/>
    <w:rsid w:val="576D5940"/>
    <w:rsid w:val="57785731"/>
    <w:rsid w:val="57813D40"/>
    <w:rsid w:val="578C014D"/>
    <w:rsid w:val="578E4FB0"/>
    <w:rsid w:val="57BE26AF"/>
    <w:rsid w:val="57C2629A"/>
    <w:rsid w:val="57D15132"/>
    <w:rsid w:val="57DD7A3B"/>
    <w:rsid w:val="57DF49A2"/>
    <w:rsid w:val="57ED47FC"/>
    <w:rsid w:val="586E01B4"/>
    <w:rsid w:val="58D630FB"/>
    <w:rsid w:val="58E5795A"/>
    <w:rsid w:val="58ED269C"/>
    <w:rsid w:val="5931524E"/>
    <w:rsid w:val="5934257F"/>
    <w:rsid w:val="59992F77"/>
    <w:rsid w:val="599A7B0A"/>
    <w:rsid w:val="59A51704"/>
    <w:rsid w:val="59A85A7E"/>
    <w:rsid w:val="59AA3BD4"/>
    <w:rsid w:val="59B755D4"/>
    <w:rsid w:val="59EB5ADD"/>
    <w:rsid w:val="59F075E5"/>
    <w:rsid w:val="59F77F45"/>
    <w:rsid w:val="5A045F5C"/>
    <w:rsid w:val="5A1328D5"/>
    <w:rsid w:val="5A141E5B"/>
    <w:rsid w:val="5A217199"/>
    <w:rsid w:val="5A3E6B03"/>
    <w:rsid w:val="5A414940"/>
    <w:rsid w:val="5A6F533B"/>
    <w:rsid w:val="5A7B0D86"/>
    <w:rsid w:val="5AAF0A61"/>
    <w:rsid w:val="5AC17F98"/>
    <w:rsid w:val="5ACF6253"/>
    <w:rsid w:val="5AE57388"/>
    <w:rsid w:val="5AF13958"/>
    <w:rsid w:val="5B0071ED"/>
    <w:rsid w:val="5B0A7340"/>
    <w:rsid w:val="5B0D3010"/>
    <w:rsid w:val="5B225E1B"/>
    <w:rsid w:val="5B4A6794"/>
    <w:rsid w:val="5B6834E5"/>
    <w:rsid w:val="5B7414DA"/>
    <w:rsid w:val="5B7454F8"/>
    <w:rsid w:val="5B784A97"/>
    <w:rsid w:val="5B7A2602"/>
    <w:rsid w:val="5B8D23C3"/>
    <w:rsid w:val="5B8F3986"/>
    <w:rsid w:val="5BA07A57"/>
    <w:rsid w:val="5BC35070"/>
    <w:rsid w:val="5BD33963"/>
    <w:rsid w:val="5C492DDE"/>
    <w:rsid w:val="5C4D7EF3"/>
    <w:rsid w:val="5C5177A8"/>
    <w:rsid w:val="5C5960FA"/>
    <w:rsid w:val="5C725E3D"/>
    <w:rsid w:val="5C7976E7"/>
    <w:rsid w:val="5CD55AB1"/>
    <w:rsid w:val="5CDF4ED0"/>
    <w:rsid w:val="5CEB7FBD"/>
    <w:rsid w:val="5CF50E41"/>
    <w:rsid w:val="5D1253A4"/>
    <w:rsid w:val="5D275CC8"/>
    <w:rsid w:val="5D2E0784"/>
    <w:rsid w:val="5D421DC8"/>
    <w:rsid w:val="5D464AF1"/>
    <w:rsid w:val="5D6D3706"/>
    <w:rsid w:val="5D7415AC"/>
    <w:rsid w:val="5D7A773F"/>
    <w:rsid w:val="5D7D6D2A"/>
    <w:rsid w:val="5D875E43"/>
    <w:rsid w:val="5DC03C97"/>
    <w:rsid w:val="5DD7525E"/>
    <w:rsid w:val="5E051A40"/>
    <w:rsid w:val="5E0E0783"/>
    <w:rsid w:val="5E0F6CCA"/>
    <w:rsid w:val="5E3848D8"/>
    <w:rsid w:val="5E3F2CE9"/>
    <w:rsid w:val="5E5F0582"/>
    <w:rsid w:val="5E6B178A"/>
    <w:rsid w:val="5E766AAF"/>
    <w:rsid w:val="5E7722A1"/>
    <w:rsid w:val="5EBD226B"/>
    <w:rsid w:val="5EC327AB"/>
    <w:rsid w:val="5F217812"/>
    <w:rsid w:val="5F37767B"/>
    <w:rsid w:val="5F536842"/>
    <w:rsid w:val="5F8065F5"/>
    <w:rsid w:val="5F89637E"/>
    <w:rsid w:val="5F8D788E"/>
    <w:rsid w:val="5FA10660"/>
    <w:rsid w:val="5FA136CD"/>
    <w:rsid w:val="5FBA49D4"/>
    <w:rsid w:val="5FC16BAF"/>
    <w:rsid w:val="5FC16C8E"/>
    <w:rsid w:val="5FC35A8A"/>
    <w:rsid w:val="5FDC529C"/>
    <w:rsid w:val="600F0DB4"/>
    <w:rsid w:val="601D1F8F"/>
    <w:rsid w:val="60287AF6"/>
    <w:rsid w:val="602E7E5B"/>
    <w:rsid w:val="6031791B"/>
    <w:rsid w:val="60565C4E"/>
    <w:rsid w:val="60933164"/>
    <w:rsid w:val="60D42F2C"/>
    <w:rsid w:val="60E604E6"/>
    <w:rsid w:val="61246385"/>
    <w:rsid w:val="612C45CE"/>
    <w:rsid w:val="61367A4A"/>
    <w:rsid w:val="618101E3"/>
    <w:rsid w:val="61B81B60"/>
    <w:rsid w:val="61BA213D"/>
    <w:rsid w:val="61F40326"/>
    <w:rsid w:val="620F7CB9"/>
    <w:rsid w:val="6223625E"/>
    <w:rsid w:val="625546A1"/>
    <w:rsid w:val="625B1A08"/>
    <w:rsid w:val="62611DB2"/>
    <w:rsid w:val="626242AF"/>
    <w:rsid w:val="627073DF"/>
    <w:rsid w:val="6286232A"/>
    <w:rsid w:val="62901E79"/>
    <w:rsid w:val="62AA7397"/>
    <w:rsid w:val="62B962CE"/>
    <w:rsid w:val="62D83687"/>
    <w:rsid w:val="62EA38CD"/>
    <w:rsid w:val="62FF058C"/>
    <w:rsid w:val="63063093"/>
    <w:rsid w:val="633046DB"/>
    <w:rsid w:val="634458A7"/>
    <w:rsid w:val="635E63B1"/>
    <w:rsid w:val="637F121C"/>
    <w:rsid w:val="63916850"/>
    <w:rsid w:val="639A4E48"/>
    <w:rsid w:val="63AA6AED"/>
    <w:rsid w:val="63AB111F"/>
    <w:rsid w:val="63B40033"/>
    <w:rsid w:val="63EB40F2"/>
    <w:rsid w:val="63EC25C0"/>
    <w:rsid w:val="63F05C53"/>
    <w:rsid w:val="640319AA"/>
    <w:rsid w:val="644E3BF2"/>
    <w:rsid w:val="64565585"/>
    <w:rsid w:val="645A2DCE"/>
    <w:rsid w:val="646B2DA9"/>
    <w:rsid w:val="649E593B"/>
    <w:rsid w:val="64A86891"/>
    <w:rsid w:val="64AB20F7"/>
    <w:rsid w:val="64D82C05"/>
    <w:rsid w:val="64E71214"/>
    <w:rsid w:val="64F774CD"/>
    <w:rsid w:val="65261342"/>
    <w:rsid w:val="652B0C59"/>
    <w:rsid w:val="653B64B9"/>
    <w:rsid w:val="655A1669"/>
    <w:rsid w:val="6560136A"/>
    <w:rsid w:val="65664C5A"/>
    <w:rsid w:val="657232B5"/>
    <w:rsid w:val="659A1C23"/>
    <w:rsid w:val="65A717A3"/>
    <w:rsid w:val="65AB173D"/>
    <w:rsid w:val="65C569A4"/>
    <w:rsid w:val="65DB0F20"/>
    <w:rsid w:val="65E67B9A"/>
    <w:rsid w:val="65FF2DAC"/>
    <w:rsid w:val="660420CA"/>
    <w:rsid w:val="66355A97"/>
    <w:rsid w:val="6648413E"/>
    <w:rsid w:val="66590D2D"/>
    <w:rsid w:val="665E5500"/>
    <w:rsid w:val="666D0CE1"/>
    <w:rsid w:val="669C2EA8"/>
    <w:rsid w:val="66A15A9D"/>
    <w:rsid w:val="66B34051"/>
    <w:rsid w:val="66CF5A16"/>
    <w:rsid w:val="66F43D4A"/>
    <w:rsid w:val="673B5505"/>
    <w:rsid w:val="67616FAD"/>
    <w:rsid w:val="676C4FC5"/>
    <w:rsid w:val="677A19D6"/>
    <w:rsid w:val="67987E28"/>
    <w:rsid w:val="679B75D8"/>
    <w:rsid w:val="67B50A2C"/>
    <w:rsid w:val="67C01E36"/>
    <w:rsid w:val="67C803A8"/>
    <w:rsid w:val="67DE04F8"/>
    <w:rsid w:val="67F4640E"/>
    <w:rsid w:val="67F46E9F"/>
    <w:rsid w:val="681D631E"/>
    <w:rsid w:val="681E2A29"/>
    <w:rsid w:val="6824547D"/>
    <w:rsid w:val="68292578"/>
    <w:rsid w:val="684319FE"/>
    <w:rsid w:val="68511E42"/>
    <w:rsid w:val="686C5A72"/>
    <w:rsid w:val="68927A66"/>
    <w:rsid w:val="689C25FF"/>
    <w:rsid w:val="68A57C57"/>
    <w:rsid w:val="68AC7696"/>
    <w:rsid w:val="68CC3D9E"/>
    <w:rsid w:val="68F2196E"/>
    <w:rsid w:val="68F95385"/>
    <w:rsid w:val="69092152"/>
    <w:rsid w:val="69120C4E"/>
    <w:rsid w:val="691C17CD"/>
    <w:rsid w:val="691C4585"/>
    <w:rsid w:val="69231B0C"/>
    <w:rsid w:val="69422EE0"/>
    <w:rsid w:val="6950151D"/>
    <w:rsid w:val="69797C2C"/>
    <w:rsid w:val="699D66A3"/>
    <w:rsid w:val="69D009DD"/>
    <w:rsid w:val="69DB6D68"/>
    <w:rsid w:val="69E22D0E"/>
    <w:rsid w:val="69E505FB"/>
    <w:rsid w:val="6A151613"/>
    <w:rsid w:val="6A5F27C6"/>
    <w:rsid w:val="6AAB1FFE"/>
    <w:rsid w:val="6AAB7931"/>
    <w:rsid w:val="6AD514FD"/>
    <w:rsid w:val="6B047C64"/>
    <w:rsid w:val="6B337C49"/>
    <w:rsid w:val="6B53760B"/>
    <w:rsid w:val="6B5851D6"/>
    <w:rsid w:val="6B657CB8"/>
    <w:rsid w:val="6B7231A0"/>
    <w:rsid w:val="6B764D4B"/>
    <w:rsid w:val="6B772420"/>
    <w:rsid w:val="6BCD4485"/>
    <w:rsid w:val="6BFC5A9A"/>
    <w:rsid w:val="6C001B2C"/>
    <w:rsid w:val="6C144697"/>
    <w:rsid w:val="6C1A2C14"/>
    <w:rsid w:val="6C1E4EC4"/>
    <w:rsid w:val="6C210515"/>
    <w:rsid w:val="6C337889"/>
    <w:rsid w:val="6C357A74"/>
    <w:rsid w:val="6C4920B2"/>
    <w:rsid w:val="6C72269C"/>
    <w:rsid w:val="6C972779"/>
    <w:rsid w:val="6C9B2A9C"/>
    <w:rsid w:val="6C9F2E19"/>
    <w:rsid w:val="6CF71D7B"/>
    <w:rsid w:val="6CF73DD1"/>
    <w:rsid w:val="6CFC2A23"/>
    <w:rsid w:val="6D0B0145"/>
    <w:rsid w:val="6D304E75"/>
    <w:rsid w:val="6D3B1836"/>
    <w:rsid w:val="6D3F18FA"/>
    <w:rsid w:val="6D504B6C"/>
    <w:rsid w:val="6D506C3D"/>
    <w:rsid w:val="6D5348B8"/>
    <w:rsid w:val="6D585A4E"/>
    <w:rsid w:val="6D6D23E0"/>
    <w:rsid w:val="6D8F32E2"/>
    <w:rsid w:val="6D990439"/>
    <w:rsid w:val="6D9C0386"/>
    <w:rsid w:val="6DE57BBE"/>
    <w:rsid w:val="6DE91AC4"/>
    <w:rsid w:val="6DF754E0"/>
    <w:rsid w:val="6DFF137D"/>
    <w:rsid w:val="6E2C0D10"/>
    <w:rsid w:val="6E354B30"/>
    <w:rsid w:val="6E360559"/>
    <w:rsid w:val="6E5137C9"/>
    <w:rsid w:val="6E6E6C00"/>
    <w:rsid w:val="6E76413D"/>
    <w:rsid w:val="6E812F68"/>
    <w:rsid w:val="6E8135FF"/>
    <w:rsid w:val="6E8B6899"/>
    <w:rsid w:val="6EE05154"/>
    <w:rsid w:val="6F2E0EED"/>
    <w:rsid w:val="6F3478BB"/>
    <w:rsid w:val="6F6716D3"/>
    <w:rsid w:val="6F6C0E42"/>
    <w:rsid w:val="6F7C3F56"/>
    <w:rsid w:val="6FC170B5"/>
    <w:rsid w:val="6FC66ECC"/>
    <w:rsid w:val="6FF33BC0"/>
    <w:rsid w:val="6FFF274E"/>
    <w:rsid w:val="700249D6"/>
    <w:rsid w:val="70232BE2"/>
    <w:rsid w:val="702860E7"/>
    <w:rsid w:val="703461AB"/>
    <w:rsid w:val="70372650"/>
    <w:rsid w:val="70400D63"/>
    <w:rsid w:val="70414EEF"/>
    <w:rsid w:val="705A1486"/>
    <w:rsid w:val="70793DE4"/>
    <w:rsid w:val="707F0897"/>
    <w:rsid w:val="708D2431"/>
    <w:rsid w:val="70A0456C"/>
    <w:rsid w:val="70B37ABB"/>
    <w:rsid w:val="70BE43E2"/>
    <w:rsid w:val="70DA7694"/>
    <w:rsid w:val="70FA6866"/>
    <w:rsid w:val="7103592E"/>
    <w:rsid w:val="71052A55"/>
    <w:rsid w:val="711C08E7"/>
    <w:rsid w:val="712629B7"/>
    <w:rsid w:val="71365F8B"/>
    <w:rsid w:val="716D04E4"/>
    <w:rsid w:val="71A7421A"/>
    <w:rsid w:val="71B70F25"/>
    <w:rsid w:val="71BB72B9"/>
    <w:rsid w:val="720B24BD"/>
    <w:rsid w:val="72110AF2"/>
    <w:rsid w:val="721F1A17"/>
    <w:rsid w:val="7228423B"/>
    <w:rsid w:val="722E2831"/>
    <w:rsid w:val="72552DBD"/>
    <w:rsid w:val="726B0FA3"/>
    <w:rsid w:val="72952638"/>
    <w:rsid w:val="72A215A0"/>
    <w:rsid w:val="72B130F2"/>
    <w:rsid w:val="72F31532"/>
    <w:rsid w:val="73037DAD"/>
    <w:rsid w:val="731E3876"/>
    <w:rsid w:val="73303038"/>
    <w:rsid w:val="7336321E"/>
    <w:rsid w:val="737D0ED5"/>
    <w:rsid w:val="737F549A"/>
    <w:rsid w:val="738946F3"/>
    <w:rsid w:val="738F76C2"/>
    <w:rsid w:val="739B2381"/>
    <w:rsid w:val="73B20AA4"/>
    <w:rsid w:val="73B464B8"/>
    <w:rsid w:val="73D42C49"/>
    <w:rsid w:val="73D858E3"/>
    <w:rsid w:val="73E37406"/>
    <w:rsid w:val="73FE55A5"/>
    <w:rsid w:val="740D4CB8"/>
    <w:rsid w:val="741503E9"/>
    <w:rsid w:val="74265823"/>
    <w:rsid w:val="745851F8"/>
    <w:rsid w:val="745D0A4B"/>
    <w:rsid w:val="746C57AC"/>
    <w:rsid w:val="74B5229A"/>
    <w:rsid w:val="74E2227D"/>
    <w:rsid w:val="74FA0379"/>
    <w:rsid w:val="751E6081"/>
    <w:rsid w:val="756B2C4C"/>
    <w:rsid w:val="75B675BF"/>
    <w:rsid w:val="75D27928"/>
    <w:rsid w:val="75F51208"/>
    <w:rsid w:val="760152A1"/>
    <w:rsid w:val="76113149"/>
    <w:rsid w:val="7634513C"/>
    <w:rsid w:val="764C4657"/>
    <w:rsid w:val="76536B52"/>
    <w:rsid w:val="765A11E5"/>
    <w:rsid w:val="76696DDC"/>
    <w:rsid w:val="768B1C93"/>
    <w:rsid w:val="769105D2"/>
    <w:rsid w:val="76A41437"/>
    <w:rsid w:val="76A97992"/>
    <w:rsid w:val="76C347C9"/>
    <w:rsid w:val="76C8106A"/>
    <w:rsid w:val="76C87F7E"/>
    <w:rsid w:val="76D44188"/>
    <w:rsid w:val="76FF4234"/>
    <w:rsid w:val="77267215"/>
    <w:rsid w:val="772C5CB8"/>
    <w:rsid w:val="774C2FD4"/>
    <w:rsid w:val="77920CAC"/>
    <w:rsid w:val="779608B1"/>
    <w:rsid w:val="77BB317F"/>
    <w:rsid w:val="77D646B3"/>
    <w:rsid w:val="77E64A52"/>
    <w:rsid w:val="77FD2D80"/>
    <w:rsid w:val="781C4EEF"/>
    <w:rsid w:val="781C6C86"/>
    <w:rsid w:val="783E1BE4"/>
    <w:rsid w:val="78520B14"/>
    <w:rsid w:val="7854746F"/>
    <w:rsid w:val="788146C9"/>
    <w:rsid w:val="78862AA4"/>
    <w:rsid w:val="788E6731"/>
    <w:rsid w:val="78904CBD"/>
    <w:rsid w:val="78957033"/>
    <w:rsid w:val="789E65DE"/>
    <w:rsid w:val="78AE643A"/>
    <w:rsid w:val="78D91C96"/>
    <w:rsid w:val="78DE4DD2"/>
    <w:rsid w:val="790902D2"/>
    <w:rsid w:val="791403C6"/>
    <w:rsid w:val="791430B9"/>
    <w:rsid w:val="7919747D"/>
    <w:rsid w:val="791B1C83"/>
    <w:rsid w:val="793F36FA"/>
    <w:rsid w:val="795E52A8"/>
    <w:rsid w:val="797207DB"/>
    <w:rsid w:val="7992605B"/>
    <w:rsid w:val="799A31CF"/>
    <w:rsid w:val="79BD4C39"/>
    <w:rsid w:val="79C43E58"/>
    <w:rsid w:val="79C66CE5"/>
    <w:rsid w:val="79F56560"/>
    <w:rsid w:val="7A066D60"/>
    <w:rsid w:val="7A067274"/>
    <w:rsid w:val="7A262840"/>
    <w:rsid w:val="7A3E1E86"/>
    <w:rsid w:val="7A6B4F43"/>
    <w:rsid w:val="7A6B6AF1"/>
    <w:rsid w:val="7A6F7E38"/>
    <w:rsid w:val="7A8F7EEB"/>
    <w:rsid w:val="7A9932D3"/>
    <w:rsid w:val="7AA717B8"/>
    <w:rsid w:val="7AE77CFC"/>
    <w:rsid w:val="7AF01AA6"/>
    <w:rsid w:val="7AF97888"/>
    <w:rsid w:val="7AFC3E59"/>
    <w:rsid w:val="7AFC56D0"/>
    <w:rsid w:val="7B0B6FF2"/>
    <w:rsid w:val="7B385ABF"/>
    <w:rsid w:val="7B445F94"/>
    <w:rsid w:val="7B611CB5"/>
    <w:rsid w:val="7B8C7083"/>
    <w:rsid w:val="7B8F138F"/>
    <w:rsid w:val="7B914877"/>
    <w:rsid w:val="7B916F71"/>
    <w:rsid w:val="7B991033"/>
    <w:rsid w:val="7BC471A2"/>
    <w:rsid w:val="7BE4557D"/>
    <w:rsid w:val="7C0D7F8A"/>
    <w:rsid w:val="7C122CFA"/>
    <w:rsid w:val="7C1E1273"/>
    <w:rsid w:val="7C254C59"/>
    <w:rsid w:val="7C3640D5"/>
    <w:rsid w:val="7C596CAD"/>
    <w:rsid w:val="7C5D03E3"/>
    <w:rsid w:val="7C8D7DB6"/>
    <w:rsid w:val="7CBD6B87"/>
    <w:rsid w:val="7CE249F2"/>
    <w:rsid w:val="7CF17DE1"/>
    <w:rsid w:val="7D2E0078"/>
    <w:rsid w:val="7D3550B2"/>
    <w:rsid w:val="7D7D2832"/>
    <w:rsid w:val="7D8C05E9"/>
    <w:rsid w:val="7D94273B"/>
    <w:rsid w:val="7DAD0A8D"/>
    <w:rsid w:val="7DB51D20"/>
    <w:rsid w:val="7DC0720D"/>
    <w:rsid w:val="7DC66901"/>
    <w:rsid w:val="7DCF2E20"/>
    <w:rsid w:val="7DF622E7"/>
    <w:rsid w:val="7E0E7161"/>
    <w:rsid w:val="7E135004"/>
    <w:rsid w:val="7E1C08DF"/>
    <w:rsid w:val="7E260F64"/>
    <w:rsid w:val="7E390E9C"/>
    <w:rsid w:val="7E5C5A2E"/>
    <w:rsid w:val="7EBE0B74"/>
    <w:rsid w:val="7EC141E6"/>
    <w:rsid w:val="7EC918E9"/>
    <w:rsid w:val="7ED31EC3"/>
    <w:rsid w:val="7EDF6ECA"/>
    <w:rsid w:val="7EFC3EE0"/>
    <w:rsid w:val="7F0333BC"/>
    <w:rsid w:val="7F3866A9"/>
    <w:rsid w:val="7F4679A3"/>
    <w:rsid w:val="7F507D30"/>
    <w:rsid w:val="7F685D4E"/>
    <w:rsid w:val="7F7D483D"/>
    <w:rsid w:val="7F951E5C"/>
    <w:rsid w:val="7FA93ADF"/>
    <w:rsid w:val="7FAB6391"/>
    <w:rsid w:val="7FCF1F18"/>
    <w:rsid w:val="7FFF46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244B"/>
    <w:pPr>
      <w:widowControl w:val="0"/>
      <w:spacing w:after="160" w:line="259" w:lineRule="auto"/>
      <w:jc w:val="both"/>
    </w:pPr>
    <w:rPr>
      <w:rFonts w:eastAsiaTheme="minorEastAsia"/>
      <w:kern w:val="2"/>
      <w:sz w:val="21"/>
      <w:szCs w:val="24"/>
      <w:lang w:val="en-US" w:eastAsia="zh-CN"/>
    </w:rPr>
  </w:style>
  <w:style w:type="paragraph" w:styleId="Heading1">
    <w:name w:val="heading 1"/>
    <w:basedOn w:val="Normal"/>
    <w:next w:val="Normal"/>
    <w:link w:val="Heading1Char"/>
    <w:qFormat/>
    <w:rsid w:val="00AE244B"/>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AE244B"/>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AE244B"/>
    <w:pPr>
      <w:numPr>
        <w:ilvl w:val="2"/>
        <w:numId w:val="1"/>
      </w:numPr>
      <w:spacing w:before="260" w:after="260" w:line="416" w:lineRule="auto"/>
      <w:outlineLvl w:val="2"/>
    </w:pPr>
    <w:rPr>
      <w:b/>
      <w:bCs/>
    </w:rPr>
  </w:style>
  <w:style w:type="paragraph" w:styleId="Heading4">
    <w:name w:val="heading 4"/>
    <w:basedOn w:val="Heading3"/>
    <w:next w:val="Normal"/>
    <w:link w:val="Heading4Char"/>
    <w:qFormat/>
    <w:rsid w:val="00AE244B"/>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AE244B"/>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AE244B"/>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AE244B"/>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AE244B"/>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AE244B"/>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AE244B"/>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rsid w:val="00AE244B"/>
    <w:pPr>
      <w:ind w:leftChars="200" w:left="100"/>
    </w:pPr>
  </w:style>
  <w:style w:type="paragraph" w:styleId="List">
    <w:name w:val="List"/>
    <w:basedOn w:val="Normal"/>
    <w:unhideWhenUsed/>
    <w:qFormat/>
    <w:rsid w:val="00AE244B"/>
    <w:pPr>
      <w:ind w:left="200" w:hangingChars="200" w:hanging="200"/>
      <w:contextualSpacing/>
    </w:pPr>
  </w:style>
  <w:style w:type="paragraph" w:styleId="CommentSubject">
    <w:name w:val="annotation subject"/>
    <w:basedOn w:val="CommentText"/>
    <w:next w:val="CommentText"/>
    <w:link w:val="CommentSubjectChar"/>
    <w:semiHidden/>
    <w:qFormat/>
    <w:rsid w:val="00AE244B"/>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AE244B"/>
    <w:pPr>
      <w:jc w:val="left"/>
    </w:pPr>
  </w:style>
  <w:style w:type="paragraph" w:styleId="TOC7">
    <w:name w:val="toc 7"/>
    <w:basedOn w:val="Normal"/>
    <w:next w:val="Normal"/>
    <w:qFormat/>
    <w:rsid w:val="00AE244B"/>
    <w:pPr>
      <w:tabs>
        <w:tab w:val="right" w:leader="dot" w:pos="9241"/>
      </w:tabs>
      <w:ind w:firstLineChars="500" w:firstLine="500"/>
      <w:jc w:val="left"/>
    </w:pPr>
    <w:rPr>
      <w:rFonts w:ascii="SimSun"/>
      <w:szCs w:val="21"/>
    </w:rPr>
  </w:style>
  <w:style w:type="paragraph" w:styleId="ListNumber2">
    <w:name w:val="List Number 2"/>
    <w:basedOn w:val="ListNumber"/>
    <w:qFormat/>
    <w:rsid w:val="00AE244B"/>
    <w:pPr>
      <w:ind w:left="851"/>
    </w:pPr>
  </w:style>
  <w:style w:type="paragraph" w:styleId="ListNumber">
    <w:name w:val="List Number"/>
    <w:basedOn w:val="List"/>
    <w:qFormat/>
    <w:rsid w:val="00AE244B"/>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rsid w:val="00AE244B"/>
    <w:pPr>
      <w:ind w:left="1418"/>
    </w:pPr>
  </w:style>
  <w:style w:type="paragraph" w:styleId="ListBullet3">
    <w:name w:val="List Bullet 3"/>
    <w:basedOn w:val="ListBullet2"/>
    <w:qFormat/>
    <w:rsid w:val="00AE244B"/>
    <w:pPr>
      <w:ind w:left="1135"/>
    </w:pPr>
  </w:style>
  <w:style w:type="paragraph" w:styleId="ListBullet2">
    <w:name w:val="List Bullet 2"/>
    <w:basedOn w:val="ListBullet"/>
    <w:qFormat/>
    <w:rsid w:val="00AE244B"/>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AE244B"/>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AE244B"/>
    <w:pPr>
      <w:ind w:left="1680" w:hanging="210"/>
      <w:jc w:val="left"/>
    </w:pPr>
    <w:rPr>
      <w:rFonts w:ascii="Calibri" w:hAnsi="Calibri"/>
      <w:sz w:val="20"/>
      <w:szCs w:val="20"/>
    </w:rPr>
  </w:style>
  <w:style w:type="paragraph" w:styleId="Caption">
    <w:name w:val="caption"/>
    <w:basedOn w:val="Normal"/>
    <w:next w:val="Normal"/>
    <w:link w:val="CaptionChar"/>
    <w:qFormat/>
    <w:rsid w:val="00AE244B"/>
    <w:pPr>
      <w:spacing w:before="152"/>
    </w:pPr>
    <w:rPr>
      <w:rFonts w:ascii="Arial" w:eastAsia="SimHei" w:hAnsi="Arial" w:cs="Arial"/>
      <w:sz w:val="20"/>
      <w:szCs w:val="20"/>
    </w:rPr>
  </w:style>
  <w:style w:type="paragraph" w:styleId="Index5">
    <w:name w:val="index 5"/>
    <w:basedOn w:val="Normal"/>
    <w:next w:val="Normal"/>
    <w:qFormat/>
    <w:rsid w:val="00AE244B"/>
    <w:pPr>
      <w:ind w:left="1050" w:hanging="210"/>
      <w:jc w:val="left"/>
    </w:pPr>
    <w:rPr>
      <w:rFonts w:ascii="Calibri" w:hAnsi="Calibri"/>
      <w:sz w:val="20"/>
      <w:szCs w:val="20"/>
    </w:rPr>
  </w:style>
  <w:style w:type="paragraph" w:styleId="DocumentMap">
    <w:name w:val="Document Map"/>
    <w:basedOn w:val="Normal"/>
    <w:link w:val="DocumentMapChar"/>
    <w:unhideWhenUsed/>
    <w:qFormat/>
    <w:rsid w:val="00AE244B"/>
    <w:rPr>
      <w:rFonts w:ascii="SimSun"/>
      <w:sz w:val="18"/>
      <w:szCs w:val="18"/>
    </w:rPr>
  </w:style>
  <w:style w:type="paragraph" w:styleId="Index6">
    <w:name w:val="index 6"/>
    <w:basedOn w:val="Normal"/>
    <w:next w:val="Normal"/>
    <w:qFormat/>
    <w:rsid w:val="00AE244B"/>
    <w:pPr>
      <w:ind w:left="1260" w:hanging="210"/>
      <w:jc w:val="left"/>
    </w:pPr>
    <w:rPr>
      <w:rFonts w:ascii="Calibri" w:hAnsi="Calibri"/>
      <w:sz w:val="20"/>
      <w:szCs w:val="20"/>
    </w:rPr>
  </w:style>
  <w:style w:type="paragraph" w:styleId="BodyText">
    <w:name w:val="Body Text"/>
    <w:basedOn w:val="Normal"/>
    <w:link w:val="BodyTextChar"/>
    <w:qFormat/>
    <w:rsid w:val="00AE244B"/>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rsid w:val="00AE244B"/>
    <w:pPr>
      <w:ind w:left="840" w:hanging="210"/>
      <w:jc w:val="left"/>
    </w:pPr>
    <w:rPr>
      <w:rFonts w:ascii="Calibri" w:hAnsi="Calibri"/>
      <w:sz w:val="20"/>
      <w:szCs w:val="20"/>
    </w:rPr>
  </w:style>
  <w:style w:type="paragraph" w:styleId="TOC5">
    <w:name w:val="toc 5"/>
    <w:basedOn w:val="Normal"/>
    <w:next w:val="Normal"/>
    <w:qFormat/>
    <w:rsid w:val="00AE244B"/>
    <w:pPr>
      <w:tabs>
        <w:tab w:val="right" w:leader="dot" w:pos="9241"/>
      </w:tabs>
      <w:ind w:firstLineChars="300" w:firstLine="300"/>
      <w:jc w:val="left"/>
    </w:pPr>
    <w:rPr>
      <w:rFonts w:ascii="SimSun"/>
      <w:szCs w:val="21"/>
    </w:rPr>
  </w:style>
  <w:style w:type="paragraph" w:styleId="TOC3">
    <w:name w:val="toc 3"/>
    <w:basedOn w:val="Normal"/>
    <w:next w:val="Normal"/>
    <w:qFormat/>
    <w:rsid w:val="00AE244B"/>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AE244B"/>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AE244B"/>
    <w:pPr>
      <w:ind w:left="1702"/>
    </w:pPr>
  </w:style>
  <w:style w:type="paragraph" w:styleId="TOC8">
    <w:name w:val="toc 8"/>
    <w:basedOn w:val="Normal"/>
    <w:next w:val="Normal"/>
    <w:qFormat/>
    <w:rsid w:val="00AE244B"/>
    <w:pPr>
      <w:tabs>
        <w:tab w:val="right" w:leader="dot" w:pos="9241"/>
      </w:tabs>
      <w:ind w:firstLineChars="600" w:firstLine="607"/>
      <w:jc w:val="left"/>
    </w:pPr>
    <w:rPr>
      <w:rFonts w:ascii="SimSun"/>
      <w:szCs w:val="21"/>
    </w:rPr>
  </w:style>
  <w:style w:type="paragraph" w:styleId="Index3">
    <w:name w:val="index 3"/>
    <w:basedOn w:val="Normal"/>
    <w:next w:val="Normal"/>
    <w:qFormat/>
    <w:rsid w:val="00AE244B"/>
    <w:pPr>
      <w:ind w:left="630" w:hanging="210"/>
      <w:jc w:val="left"/>
    </w:pPr>
    <w:rPr>
      <w:rFonts w:ascii="Calibri" w:hAnsi="Calibri"/>
      <w:sz w:val="20"/>
      <w:szCs w:val="20"/>
    </w:rPr>
  </w:style>
  <w:style w:type="paragraph" w:styleId="EndnoteText">
    <w:name w:val="endnote text"/>
    <w:basedOn w:val="Normal"/>
    <w:link w:val="EndnoteTextChar"/>
    <w:qFormat/>
    <w:rsid w:val="00AE244B"/>
    <w:pPr>
      <w:snapToGrid w:val="0"/>
      <w:jc w:val="left"/>
    </w:pPr>
  </w:style>
  <w:style w:type="paragraph" w:styleId="BalloonText">
    <w:name w:val="Balloon Text"/>
    <w:basedOn w:val="Normal"/>
    <w:link w:val="BalloonTextChar"/>
    <w:unhideWhenUsed/>
    <w:qFormat/>
    <w:rsid w:val="00AE244B"/>
    <w:rPr>
      <w:sz w:val="18"/>
      <w:szCs w:val="18"/>
    </w:rPr>
  </w:style>
  <w:style w:type="paragraph" w:styleId="Footer">
    <w:name w:val="footer"/>
    <w:basedOn w:val="Normal"/>
    <w:link w:val="FooterChar"/>
    <w:uiPriority w:val="99"/>
    <w:qFormat/>
    <w:rsid w:val="00AE244B"/>
    <w:pPr>
      <w:tabs>
        <w:tab w:val="center" w:pos="4153"/>
        <w:tab w:val="right" w:pos="8306"/>
      </w:tabs>
      <w:snapToGrid w:val="0"/>
      <w:jc w:val="left"/>
    </w:pPr>
    <w:rPr>
      <w:sz w:val="18"/>
      <w:szCs w:val="18"/>
    </w:rPr>
  </w:style>
  <w:style w:type="paragraph" w:styleId="Header">
    <w:name w:val="header"/>
    <w:basedOn w:val="Normal"/>
    <w:link w:val="HeaderChar"/>
    <w:uiPriority w:val="99"/>
    <w:qFormat/>
    <w:rsid w:val="00AE244B"/>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AE244B"/>
    <w:pPr>
      <w:tabs>
        <w:tab w:val="right" w:leader="dot" w:pos="9242"/>
      </w:tabs>
      <w:spacing w:beforeLines="25" w:afterLines="25"/>
      <w:jc w:val="left"/>
    </w:pPr>
    <w:rPr>
      <w:rFonts w:ascii="SimSun"/>
      <w:szCs w:val="21"/>
    </w:rPr>
  </w:style>
  <w:style w:type="paragraph" w:styleId="TOC4">
    <w:name w:val="toc 4"/>
    <w:basedOn w:val="Normal"/>
    <w:next w:val="Normal"/>
    <w:qFormat/>
    <w:rsid w:val="00AE244B"/>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AE244B"/>
    <w:pPr>
      <w:spacing w:before="120" w:after="120"/>
      <w:jc w:val="center"/>
    </w:pPr>
    <w:rPr>
      <w:rFonts w:ascii="Calibri" w:hAnsi="Calibri"/>
      <w:b/>
      <w:bCs/>
      <w:iCs/>
      <w:szCs w:val="20"/>
    </w:rPr>
  </w:style>
  <w:style w:type="paragraph" w:styleId="Index1">
    <w:name w:val="index 1"/>
    <w:basedOn w:val="Normal"/>
    <w:next w:val="a"/>
    <w:qFormat/>
    <w:rsid w:val="00AE244B"/>
    <w:pPr>
      <w:tabs>
        <w:tab w:val="right" w:leader="dot" w:pos="9299"/>
      </w:tabs>
      <w:jc w:val="left"/>
    </w:pPr>
    <w:rPr>
      <w:rFonts w:ascii="SimSun"/>
      <w:szCs w:val="21"/>
    </w:rPr>
  </w:style>
  <w:style w:type="paragraph" w:customStyle="1" w:styleId="a">
    <w:name w:val="段"/>
    <w:link w:val="CharChar"/>
    <w:qFormat/>
    <w:rsid w:val="00AE244B"/>
    <w:pPr>
      <w:tabs>
        <w:tab w:val="center" w:pos="4201"/>
        <w:tab w:val="right" w:leader="dot" w:pos="9298"/>
      </w:tabs>
      <w:autoSpaceDE w:val="0"/>
      <w:autoSpaceDN w:val="0"/>
      <w:spacing w:after="160" w:line="259" w:lineRule="auto"/>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rsid w:val="00AE244B"/>
    <w:pPr>
      <w:tabs>
        <w:tab w:val="left" w:pos="0"/>
      </w:tabs>
      <w:snapToGrid w:val="0"/>
      <w:jc w:val="left"/>
    </w:pPr>
    <w:rPr>
      <w:rFonts w:ascii="SimSun"/>
      <w:sz w:val="18"/>
      <w:szCs w:val="18"/>
    </w:rPr>
  </w:style>
  <w:style w:type="paragraph" w:styleId="TOC6">
    <w:name w:val="toc 6"/>
    <w:basedOn w:val="Normal"/>
    <w:next w:val="Normal"/>
    <w:qFormat/>
    <w:rsid w:val="00AE244B"/>
    <w:pPr>
      <w:tabs>
        <w:tab w:val="right" w:leader="dot" w:pos="9241"/>
      </w:tabs>
      <w:ind w:firstLineChars="400" w:firstLine="400"/>
      <w:jc w:val="left"/>
    </w:pPr>
    <w:rPr>
      <w:rFonts w:ascii="SimSun"/>
      <w:szCs w:val="21"/>
    </w:rPr>
  </w:style>
  <w:style w:type="paragraph" w:styleId="List5">
    <w:name w:val="List 5"/>
    <w:basedOn w:val="List4"/>
    <w:qFormat/>
    <w:rsid w:val="00AE244B"/>
    <w:pPr>
      <w:ind w:left="1702"/>
    </w:pPr>
  </w:style>
  <w:style w:type="paragraph" w:styleId="List4">
    <w:name w:val="List 4"/>
    <w:basedOn w:val="List3"/>
    <w:qFormat/>
    <w:rsid w:val="00AE244B"/>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AE244B"/>
    <w:pPr>
      <w:ind w:left="1470" w:hanging="210"/>
      <w:jc w:val="left"/>
    </w:pPr>
    <w:rPr>
      <w:rFonts w:ascii="Calibri" w:hAnsi="Calibri"/>
      <w:sz w:val="20"/>
      <w:szCs w:val="20"/>
    </w:rPr>
  </w:style>
  <w:style w:type="paragraph" w:styleId="Index9">
    <w:name w:val="index 9"/>
    <w:basedOn w:val="Normal"/>
    <w:next w:val="Normal"/>
    <w:qFormat/>
    <w:rsid w:val="00AE244B"/>
    <w:pPr>
      <w:ind w:left="1890" w:hanging="210"/>
      <w:jc w:val="left"/>
    </w:pPr>
    <w:rPr>
      <w:rFonts w:ascii="Calibri" w:hAnsi="Calibri"/>
      <w:sz w:val="20"/>
      <w:szCs w:val="20"/>
    </w:rPr>
  </w:style>
  <w:style w:type="paragraph" w:styleId="TableofFigures">
    <w:name w:val="table of figures"/>
    <w:basedOn w:val="Normal"/>
    <w:next w:val="Normal"/>
    <w:uiPriority w:val="99"/>
    <w:qFormat/>
    <w:rsid w:val="00AE244B"/>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AE244B"/>
    <w:pPr>
      <w:tabs>
        <w:tab w:val="right" w:leader="dot" w:pos="9242"/>
      </w:tabs>
    </w:pPr>
    <w:rPr>
      <w:rFonts w:ascii="SimSun"/>
      <w:szCs w:val="21"/>
    </w:rPr>
  </w:style>
  <w:style w:type="paragraph" w:styleId="TOC9">
    <w:name w:val="toc 9"/>
    <w:basedOn w:val="Normal"/>
    <w:next w:val="Normal"/>
    <w:qFormat/>
    <w:rsid w:val="00AE244B"/>
    <w:pPr>
      <w:ind w:left="1470"/>
      <w:jc w:val="left"/>
    </w:pPr>
    <w:rPr>
      <w:sz w:val="20"/>
      <w:szCs w:val="20"/>
    </w:rPr>
  </w:style>
  <w:style w:type="paragraph" w:styleId="NormalWeb">
    <w:name w:val="Normal (Web)"/>
    <w:basedOn w:val="Normal"/>
    <w:uiPriority w:val="99"/>
    <w:unhideWhenUsed/>
    <w:qFormat/>
    <w:rsid w:val="00AE244B"/>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AE244B"/>
    <w:pPr>
      <w:ind w:left="420" w:hanging="210"/>
      <w:jc w:val="left"/>
    </w:pPr>
    <w:rPr>
      <w:rFonts w:ascii="Calibri" w:hAnsi="Calibri"/>
      <w:sz w:val="20"/>
      <w:szCs w:val="20"/>
    </w:rPr>
  </w:style>
  <w:style w:type="character" w:styleId="Strong">
    <w:name w:val="Strong"/>
    <w:basedOn w:val="DefaultParagraphFont"/>
    <w:uiPriority w:val="22"/>
    <w:qFormat/>
    <w:rsid w:val="00AE244B"/>
    <w:rPr>
      <w:b/>
    </w:rPr>
  </w:style>
  <w:style w:type="character" w:styleId="EndnoteReference">
    <w:name w:val="endnote reference"/>
    <w:basedOn w:val="DefaultParagraphFont"/>
    <w:qFormat/>
    <w:rsid w:val="00AE244B"/>
    <w:rPr>
      <w:vertAlign w:val="superscript"/>
    </w:rPr>
  </w:style>
  <w:style w:type="character" w:styleId="PageNumber">
    <w:name w:val="page number"/>
    <w:basedOn w:val="DefaultParagraphFont"/>
    <w:qFormat/>
    <w:rsid w:val="00AE244B"/>
  </w:style>
  <w:style w:type="character" w:styleId="FollowedHyperlink">
    <w:name w:val="FollowedHyperlink"/>
    <w:basedOn w:val="DefaultParagraphFont"/>
    <w:qFormat/>
    <w:rsid w:val="00AE244B"/>
    <w:rPr>
      <w:color w:val="800080"/>
      <w:u w:val="single"/>
    </w:rPr>
  </w:style>
  <w:style w:type="character" w:styleId="Emphasis">
    <w:name w:val="Emphasis"/>
    <w:qFormat/>
    <w:rsid w:val="00AE244B"/>
    <w:rPr>
      <w:i/>
      <w:iCs/>
    </w:rPr>
  </w:style>
  <w:style w:type="character" w:styleId="Hyperlink">
    <w:name w:val="Hyperlink"/>
    <w:basedOn w:val="DefaultParagraphFont"/>
    <w:uiPriority w:val="99"/>
    <w:qFormat/>
    <w:rsid w:val="00AE244B"/>
    <w:rPr>
      <w:color w:val="0000FF"/>
      <w:spacing w:val="0"/>
      <w:w w:val="100"/>
      <w:szCs w:val="21"/>
      <w:u w:val="single"/>
      <w:lang w:val="en-US" w:eastAsia="zh-CN"/>
    </w:rPr>
  </w:style>
  <w:style w:type="character" w:styleId="CommentReference">
    <w:name w:val="annotation reference"/>
    <w:qFormat/>
    <w:rsid w:val="00AE244B"/>
    <w:rPr>
      <w:sz w:val="16"/>
    </w:rPr>
  </w:style>
  <w:style w:type="character" w:styleId="FootnoteReference">
    <w:name w:val="footnote reference"/>
    <w:basedOn w:val="DefaultParagraphFont"/>
    <w:qFormat/>
    <w:rsid w:val="00AE244B"/>
    <w:rPr>
      <w:vertAlign w:val="superscript"/>
    </w:rPr>
  </w:style>
  <w:style w:type="table" w:styleId="TableGrid">
    <w:name w:val="Table Grid"/>
    <w:basedOn w:val="TableNormal"/>
    <w:qFormat/>
    <w:rsid w:val="00AE244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AE244B"/>
    <w:rPr>
      <w:kern w:val="2"/>
      <w:sz w:val="18"/>
      <w:szCs w:val="18"/>
    </w:rPr>
  </w:style>
  <w:style w:type="paragraph" w:customStyle="1" w:styleId="ListParagraph1">
    <w:name w:val="List Paragraph1"/>
    <w:basedOn w:val="Normal"/>
    <w:link w:val="ListParagraphChar"/>
    <w:uiPriority w:val="99"/>
    <w:unhideWhenUsed/>
    <w:qFormat/>
    <w:rsid w:val="00AE244B"/>
    <w:pPr>
      <w:ind w:firstLineChars="200" w:firstLine="420"/>
    </w:pPr>
  </w:style>
  <w:style w:type="character" w:customStyle="1" w:styleId="DocumentMapChar">
    <w:name w:val="Document Map Char"/>
    <w:basedOn w:val="DefaultParagraphFont"/>
    <w:link w:val="DocumentMap"/>
    <w:qFormat/>
    <w:rsid w:val="00AE244B"/>
    <w:rPr>
      <w:rFonts w:ascii="SimSun"/>
      <w:kern w:val="2"/>
      <w:sz w:val="18"/>
      <w:szCs w:val="18"/>
    </w:rPr>
  </w:style>
  <w:style w:type="character" w:customStyle="1" w:styleId="Heading1Char">
    <w:name w:val="Heading 1 Char"/>
    <w:basedOn w:val="DefaultParagraphFont"/>
    <w:link w:val="Heading1"/>
    <w:qFormat/>
    <w:rsid w:val="00AE244B"/>
    <w:rPr>
      <w:b/>
      <w:bCs/>
      <w:kern w:val="44"/>
      <w:sz w:val="44"/>
      <w:szCs w:val="44"/>
    </w:rPr>
  </w:style>
  <w:style w:type="character" w:customStyle="1" w:styleId="Heading2Char">
    <w:name w:val="Heading 2 Char"/>
    <w:basedOn w:val="DefaultParagraphFont"/>
    <w:link w:val="Heading2"/>
    <w:qFormat/>
    <w:rsid w:val="00AE244B"/>
    <w:rPr>
      <w:rFonts w:ascii="Arial" w:eastAsia="MS Mincho" w:hAnsi="Arial"/>
      <w:sz w:val="32"/>
      <w:szCs w:val="32"/>
      <w:lang w:val="en-GB"/>
    </w:rPr>
  </w:style>
  <w:style w:type="character" w:customStyle="1" w:styleId="Heading3Char">
    <w:name w:val="Heading 3 Char"/>
    <w:basedOn w:val="DefaultParagraphFont"/>
    <w:link w:val="Heading3"/>
    <w:qFormat/>
    <w:rsid w:val="00AE244B"/>
    <w:rPr>
      <w:b/>
      <w:bCs/>
      <w:kern w:val="2"/>
      <w:sz w:val="32"/>
      <w:szCs w:val="32"/>
    </w:rPr>
  </w:style>
  <w:style w:type="character" w:customStyle="1" w:styleId="Heading4Char">
    <w:name w:val="Heading 4 Char"/>
    <w:basedOn w:val="DefaultParagraphFont"/>
    <w:link w:val="Heading4"/>
    <w:qFormat/>
    <w:rsid w:val="00AE244B"/>
    <w:rPr>
      <w:rFonts w:ascii="Arial" w:eastAsia="SimHei" w:hAnsi="Arial"/>
      <w:b/>
      <w:kern w:val="2"/>
      <w:sz w:val="28"/>
      <w:szCs w:val="24"/>
    </w:rPr>
  </w:style>
  <w:style w:type="character" w:customStyle="1" w:styleId="Heading5Char">
    <w:name w:val="Heading 5 Char"/>
    <w:basedOn w:val="DefaultParagraphFont"/>
    <w:link w:val="Heading5"/>
    <w:qFormat/>
    <w:rsid w:val="00AE244B"/>
    <w:rPr>
      <w:b/>
      <w:kern w:val="2"/>
      <w:sz w:val="28"/>
      <w:szCs w:val="24"/>
    </w:rPr>
  </w:style>
  <w:style w:type="character" w:customStyle="1" w:styleId="Heading6Char">
    <w:name w:val="Heading 6 Char"/>
    <w:basedOn w:val="DefaultParagraphFont"/>
    <w:link w:val="Heading6"/>
    <w:qFormat/>
    <w:rsid w:val="00AE244B"/>
    <w:rPr>
      <w:rFonts w:ascii="Arial" w:eastAsia="SimHei" w:hAnsi="Arial"/>
      <w:b/>
      <w:kern w:val="2"/>
      <w:sz w:val="24"/>
      <w:szCs w:val="24"/>
    </w:rPr>
  </w:style>
  <w:style w:type="character" w:customStyle="1" w:styleId="Heading7Char">
    <w:name w:val="Heading 7 Char"/>
    <w:basedOn w:val="DefaultParagraphFont"/>
    <w:link w:val="Heading7"/>
    <w:qFormat/>
    <w:rsid w:val="00AE244B"/>
    <w:rPr>
      <w:b/>
      <w:kern w:val="2"/>
      <w:sz w:val="24"/>
      <w:szCs w:val="24"/>
    </w:rPr>
  </w:style>
  <w:style w:type="character" w:customStyle="1" w:styleId="Heading8Char">
    <w:name w:val="Heading 8 Char"/>
    <w:basedOn w:val="DefaultParagraphFont"/>
    <w:link w:val="Heading8"/>
    <w:qFormat/>
    <w:rsid w:val="00AE244B"/>
    <w:rPr>
      <w:rFonts w:ascii="Arial" w:eastAsia="SimHei" w:hAnsi="Arial"/>
      <w:kern w:val="2"/>
      <w:sz w:val="24"/>
      <w:szCs w:val="24"/>
    </w:rPr>
  </w:style>
  <w:style w:type="character" w:customStyle="1" w:styleId="Heading9Char">
    <w:name w:val="Heading 9 Char"/>
    <w:basedOn w:val="DefaultParagraphFont"/>
    <w:link w:val="Heading9"/>
    <w:qFormat/>
    <w:rsid w:val="00AE244B"/>
    <w:rPr>
      <w:rFonts w:ascii="Arial" w:eastAsia="SimHei" w:hAnsi="Arial"/>
      <w:kern w:val="2"/>
      <w:sz w:val="21"/>
      <w:szCs w:val="24"/>
    </w:rPr>
  </w:style>
  <w:style w:type="character" w:customStyle="1" w:styleId="CharChar5">
    <w:name w:val="Char Char5"/>
    <w:qFormat/>
    <w:rsid w:val="00AE244B"/>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AE244B"/>
    <w:rPr>
      <w:rFonts w:ascii="Arial" w:eastAsia="MS Mincho" w:hAnsi="Arial"/>
      <w:szCs w:val="24"/>
      <w:lang w:val="en-GB" w:eastAsia="en-GB" w:bidi="ar-SA"/>
    </w:rPr>
  </w:style>
  <w:style w:type="character" w:customStyle="1" w:styleId="Doc-text2Char">
    <w:name w:val="Doc-text2 Char"/>
    <w:qFormat/>
    <w:rsid w:val="00AE244B"/>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AE244B"/>
    <w:pPr>
      <w:tabs>
        <w:tab w:val="left" w:pos="1259"/>
      </w:tabs>
      <w:ind w:left="1619" w:hanging="360"/>
    </w:pPr>
  </w:style>
  <w:style w:type="paragraph" w:customStyle="1" w:styleId="Doc-text2">
    <w:name w:val="Doc-text2"/>
    <w:basedOn w:val="Normal"/>
    <w:link w:val="Doc-text2CharChar"/>
    <w:qFormat/>
    <w:rsid w:val="00AE244B"/>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AE244B"/>
    <w:rPr>
      <w:rFonts w:ascii="Arial" w:eastAsia="MS Mincho" w:hAnsi="Arial"/>
      <w:b/>
      <w:szCs w:val="24"/>
      <w:lang w:val="en-GB" w:eastAsia="en-GB"/>
    </w:rPr>
  </w:style>
  <w:style w:type="paragraph" w:customStyle="1" w:styleId="BoldComments">
    <w:name w:val="Bold Comments"/>
    <w:basedOn w:val="SubHeading"/>
    <w:link w:val="BoldCommentsChar"/>
    <w:qFormat/>
    <w:rsid w:val="00AE244B"/>
  </w:style>
  <w:style w:type="paragraph" w:customStyle="1" w:styleId="SubHeading">
    <w:name w:val="SubHeading"/>
    <w:basedOn w:val="Normal"/>
    <w:next w:val="Doc-title"/>
    <w:link w:val="SubHeadingCharChar"/>
    <w:qFormat/>
    <w:rsid w:val="00AE244B"/>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AE244B"/>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AE244B"/>
    <w:rPr>
      <w:rFonts w:ascii="Arial" w:eastAsia="Batang" w:hAnsi="Arial"/>
      <w:b/>
      <w:color w:val="0000FF"/>
      <w:kern w:val="2"/>
      <w:lang w:eastAsia="en-US"/>
    </w:rPr>
  </w:style>
  <w:style w:type="paragraph" w:customStyle="1" w:styleId="TH">
    <w:name w:val="TH"/>
    <w:basedOn w:val="Normal"/>
    <w:link w:val="THChar"/>
    <w:qFormat/>
    <w:rsid w:val="00AE244B"/>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AE244B"/>
    <w:rPr>
      <w:rFonts w:ascii="Arial" w:eastAsia="SimHei" w:hAnsi="Arial" w:cs="Arial"/>
      <w:kern w:val="2"/>
    </w:rPr>
  </w:style>
  <w:style w:type="character" w:customStyle="1" w:styleId="3CharChar">
    <w:name w:val="标题 3 Char Char"/>
    <w:basedOn w:val="DefaultParagraphFont"/>
    <w:qFormat/>
    <w:rsid w:val="00AE244B"/>
    <w:rPr>
      <w:b/>
      <w:bCs/>
      <w:kern w:val="2"/>
      <w:sz w:val="32"/>
      <w:szCs w:val="32"/>
    </w:rPr>
  </w:style>
  <w:style w:type="character" w:customStyle="1" w:styleId="CommentSubjectChar">
    <w:name w:val="Comment Subject Char"/>
    <w:basedOn w:val="Char"/>
    <w:link w:val="CommentSubject"/>
    <w:semiHidden/>
    <w:qFormat/>
    <w:rsid w:val="00AE244B"/>
    <w:rPr>
      <w:rFonts w:ascii="Arial" w:eastAsia="MS Mincho" w:hAnsi="Arial"/>
      <w:b/>
      <w:bCs/>
      <w:lang w:val="en-GB" w:eastAsia="en-GB"/>
    </w:rPr>
  </w:style>
  <w:style w:type="character" w:customStyle="1" w:styleId="Char">
    <w:name w:val="批注文字 Char"/>
    <w:basedOn w:val="DefaultParagraphFont"/>
    <w:qFormat/>
    <w:rsid w:val="00AE244B"/>
    <w:rPr>
      <w:rFonts w:eastAsia="MS Mincho"/>
      <w:lang w:val="en-GB"/>
    </w:rPr>
  </w:style>
  <w:style w:type="character" w:customStyle="1" w:styleId="B1Char1">
    <w:name w:val="B1 Char1"/>
    <w:link w:val="B1"/>
    <w:qFormat/>
    <w:locked/>
    <w:rsid w:val="00AE244B"/>
    <w:rPr>
      <w:lang w:val="en-GB" w:eastAsia="ja-JP"/>
    </w:rPr>
  </w:style>
  <w:style w:type="paragraph" w:customStyle="1" w:styleId="B1">
    <w:name w:val="B1"/>
    <w:basedOn w:val="List"/>
    <w:link w:val="B1Char1"/>
    <w:qFormat/>
    <w:rsid w:val="00AE244B"/>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AE244B"/>
    <w:rPr>
      <w:rFonts w:ascii="Arial" w:eastAsia="MS Mincho" w:hAnsi="Arial"/>
      <w:b/>
      <w:szCs w:val="24"/>
      <w:lang w:val="en-GB" w:eastAsia="en-GB" w:bidi="ar-SA"/>
    </w:rPr>
  </w:style>
  <w:style w:type="character" w:customStyle="1" w:styleId="InternalChar">
    <w:name w:val="Internal Char"/>
    <w:link w:val="Internal"/>
    <w:qFormat/>
    <w:rsid w:val="00AE244B"/>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AE244B"/>
    <w:rPr>
      <w:color w:val="333399"/>
    </w:rPr>
  </w:style>
  <w:style w:type="paragraph" w:customStyle="1" w:styleId="Comments">
    <w:name w:val="Comments"/>
    <w:basedOn w:val="Normal"/>
    <w:link w:val="CommentsCharChar"/>
    <w:qFormat/>
    <w:rsid w:val="00AE244B"/>
    <w:pPr>
      <w:widowControl/>
      <w:spacing w:before="40"/>
      <w:jc w:val="left"/>
    </w:pPr>
    <w:rPr>
      <w:rFonts w:ascii="Arial" w:eastAsia="MS Mincho" w:hAnsi="Arial"/>
      <w:i/>
      <w:kern w:val="0"/>
      <w:sz w:val="18"/>
      <w:lang w:val="en-GB" w:eastAsia="en-GB"/>
    </w:rPr>
  </w:style>
  <w:style w:type="character" w:customStyle="1" w:styleId="CharChar7">
    <w:name w:val="Char Char7"/>
    <w:qFormat/>
    <w:rsid w:val="00AE244B"/>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AE244B"/>
    <w:rPr>
      <w:rFonts w:ascii="Arial" w:eastAsia="MS Mincho" w:hAnsi="Arial"/>
      <w:i/>
      <w:sz w:val="18"/>
      <w:szCs w:val="24"/>
      <w:lang w:val="en-GB" w:eastAsia="en-GB"/>
    </w:rPr>
  </w:style>
  <w:style w:type="character" w:customStyle="1" w:styleId="CharChar">
    <w:name w:val="段 Char Char"/>
    <w:basedOn w:val="DefaultParagraphFont"/>
    <w:link w:val="a"/>
    <w:qFormat/>
    <w:rsid w:val="00AE244B"/>
    <w:rPr>
      <w:rFonts w:ascii="SimSun"/>
      <w:sz w:val="21"/>
    </w:rPr>
  </w:style>
  <w:style w:type="character" w:customStyle="1" w:styleId="SubHeadingChar">
    <w:name w:val="SubHeading Char"/>
    <w:qFormat/>
    <w:rsid w:val="00AE244B"/>
    <w:rPr>
      <w:rFonts w:ascii="Arial" w:eastAsia="MS Mincho" w:hAnsi="Arial"/>
      <w:b/>
      <w:szCs w:val="24"/>
      <w:lang w:val="en-GB" w:eastAsia="en-GB" w:bidi="ar-SA"/>
    </w:rPr>
  </w:style>
  <w:style w:type="character" w:customStyle="1" w:styleId="TALChar">
    <w:name w:val="TAL Char"/>
    <w:link w:val="TAL"/>
    <w:qFormat/>
    <w:rsid w:val="00AE244B"/>
    <w:rPr>
      <w:rFonts w:ascii="Arial" w:eastAsia="MS Mincho" w:hAnsi="Arial" w:cs="Arial"/>
      <w:sz w:val="18"/>
      <w:szCs w:val="18"/>
      <w:lang w:val="en-GB"/>
    </w:rPr>
  </w:style>
  <w:style w:type="paragraph" w:customStyle="1" w:styleId="TAL">
    <w:name w:val="TAL"/>
    <w:basedOn w:val="Normal"/>
    <w:link w:val="TALChar"/>
    <w:qFormat/>
    <w:rsid w:val="00AE244B"/>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AE244B"/>
    <w:rPr>
      <w:rFonts w:eastAsia="MS Mincho"/>
      <w:lang w:val="en-GB" w:eastAsia="ja-JP"/>
    </w:rPr>
  </w:style>
  <w:style w:type="paragraph" w:customStyle="1" w:styleId="B2">
    <w:name w:val="B2"/>
    <w:basedOn w:val="List2"/>
    <w:link w:val="B2Char"/>
    <w:qFormat/>
    <w:rsid w:val="00AE244B"/>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AE244B"/>
  </w:style>
  <w:style w:type="character" w:customStyle="1" w:styleId="Doc-titleChar">
    <w:name w:val="Doc-title Char"/>
    <w:qFormat/>
    <w:rsid w:val="00AE244B"/>
    <w:rPr>
      <w:rFonts w:ascii="Arial" w:eastAsia="MS Mincho" w:hAnsi="Arial"/>
      <w:szCs w:val="24"/>
      <w:lang w:val="en-GB" w:eastAsia="en-GB" w:bidi="ar-SA"/>
    </w:rPr>
  </w:style>
  <w:style w:type="character" w:customStyle="1" w:styleId="1CharChar">
    <w:name w:val="标题 1 Char Char"/>
    <w:basedOn w:val="DefaultParagraphFont"/>
    <w:qFormat/>
    <w:rsid w:val="00AE244B"/>
    <w:rPr>
      <w:b/>
      <w:bCs/>
      <w:kern w:val="44"/>
      <w:sz w:val="44"/>
      <w:szCs w:val="44"/>
    </w:rPr>
  </w:style>
  <w:style w:type="character" w:customStyle="1" w:styleId="Doc-titleCharChar">
    <w:name w:val="Doc-title Char Char"/>
    <w:basedOn w:val="DefaultParagraphFont"/>
    <w:link w:val="Doc-title"/>
    <w:qFormat/>
    <w:rsid w:val="00AE244B"/>
    <w:rPr>
      <w:rFonts w:ascii="Arial" w:eastAsia="MS Mincho" w:hAnsi="Arial"/>
      <w:szCs w:val="24"/>
      <w:lang w:val="en-GB" w:eastAsia="en-GB"/>
    </w:rPr>
  </w:style>
  <w:style w:type="character" w:customStyle="1" w:styleId="emailstyle20">
    <w:name w:val="emailstyle20"/>
    <w:semiHidden/>
    <w:qFormat/>
    <w:rsid w:val="00AE244B"/>
    <w:rPr>
      <w:rFonts w:ascii="Arial" w:hAnsi="Arial" w:cs="Arial" w:hint="default"/>
      <w:color w:val="auto"/>
      <w:sz w:val="20"/>
      <w:szCs w:val="20"/>
    </w:rPr>
  </w:style>
  <w:style w:type="character" w:customStyle="1" w:styleId="FooterChar">
    <w:name w:val="Footer Char"/>
    <w:link w:val="Footer"/>
    <w:uiPriority w:val="99"/>
    <w:qFormat/>
    <w:rsid w:val="00AE244B"/>
    <w:rPr>
      <w:kern w:val="2"/>
      <w:sz w:val="18"/>
      <w:szCs w:val="18"/>
    </w:rPr>
  </w:style>
  <w:style w:type="character" w:customStyle="1" w:styleId="PlaceholderText1">
    <w:name w:val="Placeholder Text1"/>
    <w:uiPriority w:val="99"/>
    <w:semiHidden/>
    <w:qFormat/>
    <w:rsid w:val="00AE244B"/>
    <w:rPr>
      <w:color w:val="808080"/>
    </w:rPr>
  </w:style>
  <w:style w:type="character" w:customStyle="1" w:styleId="CharChar0">
    <w:name w:val="附录公式 Char Char"/>
    <w:basedOn w:val="CharChar"/>
    <w:link w:val="a0"/>
    <w:qFormat/>
    <w:rsid w:val="00AE244B"/>
    <w:rPr>
      <w:rFonts w:ascii="SimSun"/>
      <w:sz w:val="21"/>
    </w:rPr>
  </w:style>
  <w:style w:type="paragraph" w:customStyle="1" w:styleId="a0">
    <w:name w:val="附录公式"/>
    <w:basedOn w:val="a"/>
    <w:next w:val="a"/>
    <w:link w:val="CharChar0"/>
    <w:qFormat/>
    <w:rsid w:val="00AE244B"/>
  </w:style>
  <w:style w:type="character" w:customStyle="1" w:styleId="PlainTextChar">
    <w:name w:val="Plain Text Char"/>
    <w:basedOn w:val="DefaultParagraphFont"/>
    <w:link w:val="PlainText"/>
    <w:uiPriority w:val="99"/>
    <w:qFormat/>
    <w:rsid w:val="00AE244B"/>
    <w:rPr>
      <w:rFonts w:ascii="Consolas" w:eastAsia="Calibri" w:hAnsi="Consolas"/>
      <w:sz w:val="21"/>
      <w:szCs w:val="21"/>
      <w:lang w:eastAsia="en-US"/>
    </w:rPr>
  </w:style>
  <w:style w:type="character" w:customStyle="1" w:styleId="CharChar1">
    <w:name w:val="首示例 Char Char"/>
    <w:basedOn w:val="DefaultParagraphFont"/>
    <w:link w:val="a1"/>
    <w:qFormat/>
    <w:rsid w:val="00AE244B"/>
    <w:rPr>
      <w:rFonts w:ascii="SimSun" w:hAnsi="SimSun"/>
      <w:kern w:val="2"/>
      <w:sz w:val="18"/>
      <w:szCs w:val="18"/>
    </w:rPr>
  </w:style>
  <w:style w:type="paragraph" w:customStyle="1" w:styleId="a1">
    <w:name w:val="首示例"/>
    <w:next w:val="a"/>
    <w:link w:val="CharChar1"/>
    <w:qFormat/>
    <w:rsid w:val="00AE244B"/>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sid w:val="00AE244B"/>
    <w:rPr>
      <w:rFonts w:ascii="Arial" w:eastAsia="MS Mincho" w:hAnsi="Arial"/>
      <w:b/>
      <w:szCs w:val="24"/>
      <w:lang w:val="en-GB" w:eastAsia="en-GB"/>
    </w:rPr>
  </w:style>
  <w:style w:type="character" w:customStyle="1" w:styleId="a2">
    <w:name w:val="发布"/>
    <w:basedOn w:val="DefaultParagraphFont"/>
    <w:qFormat/>
    <w:rsid w:val="00AE244B"/>
    <w:rPr>
      <w:rFonts w:ascii="SimHei" w:eastAsia="SimHei"/>
      <w:spacing w:val="85"/>
      <w:w w:val="100"/>
      <w:position w:val="3"/>
      <w:sz w:val="28"/>
      <w:szCs w:val="28"/>
    </w:rPr>
  </w:style>
  <w:style w:type="character" w:customStyle="1" w:styleId="CharChar6">
    <w:name w:val="Char Char6"/>
    <w:qFormat/>
    <w:rsid w:val="00AE244B"/>
    <w:rPr>
      <w:rFonts w:ascii="Arial" w:eastAsia="MS Mincho" w:hAnsi="Arial" w:cs="Arial"/>
      <w:bCs/>
      <w:sz w:val="26"/>
      <w:szCs w:val="26"/>
      <w:lang w:val="en-GB" w:eastAsia="en-GB" w:bidi="ar-SA"/>
    </w:rPr>
  </w:style>
  <w:style w:type="character" w:customStyle="1" w:styleId="B3Char2">
    <w:name w:val="B3 Char2"/>
    <w:link w:val="B3"/>
    <w:qFormat/>
    <w:rsid w:val="00AE244B"/>
    <w:rPr>
      <w:rFonts w:eastAsia="Malgun Gothic"/>
      <w:lang w:eastAsia="en-US"/>
    </w:rPr>
  </w:style>
  <w:style w:type="paragraph" w:customStyle="1" w:styleId="B3">
    <w:name w:val="B3"/>
    <w:basedOn w:val="List3"/>
    <w:link w:val="B3Char2"/>
    <w:qFormat/>
    <w:rsid w:val="00AE244B"/>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AE244B"/>
    <w:rPr>
      <w:rFonts w:ascii="Arial" w:eastAsia="MS Mincho" w:hAnsi="Arial"/>
      <w:szCs w:val="24"/>
      <w:lang w:val="en-GB" w:eastAsia="en-GB"/>
    </w:rPr>
  </w:style>
  <w:style w:type="character" w:customStyle="1" w:styleId="DoclistChar">
    <w:name w:val="Doc list Char"/>
    <w:basedOn w:val="Doc-titleChar"/>
    <w:link w:val="Doclist"/>
    <w:qFormat/>
    <w:rsid w:val="00AE244B"/>
    <w:rPr>
      <w:rFonts w:ascii="Arial" w:eastAsia="MS Mincho" w:hAnsi="Arial"/>
      <w:szCs w:val="24"/>
      <w:lang w:val="en-GB" w:eastAsia="en-GB" w:bidi="ar-SA"/>
    </w:rPr>
  </w:style>
  <w:style w:type="paragraph" w:customStyle="1" w:styleId="Doclist">
    <w:name w:val="Doc list"/>
    <w:basedOn w:val="Doc-title"/>
    <w:link w:val="DoclistChar"/>
    <w:qFormat/>
    <w:rsid w:val="00AE244B"/>
    <w:pPr>
      <w:spacing w:before="60"/>
      <w:ind w:left="1259" w:hanging="1259"/>
    </w:pPr>
  </w:style>
  <w:style w:type="character" w:customStyle="1" w:styleId="EmailDiscussionCharChar">
    <w:name w:val="EmailDiscussion Char Char"/>
    <w:link w:val="EmailDiscussion"/>
    <w:qFormat/>
    <w:rsid w:val="00AE244B"/>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AE244B"/>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AE244B"/>
    <w:rPr>
      <w:kern w:val="2"/>
      <w:sz w:val="18"/>
      <w:szCs w:val="18"/>
    </w:rPr>
  </w:style>
  <w:style w:type="character" w:customStyle="1" w:styleId="Doc-text2CharChar">
    <w:name w:val="Doc-text2 Char Char"/>
    <w:basedOn w:val="DefaultParagraphFont"/>
    <w:link w:val="Doc-text2"/>
    <w:qFormat/>
    <w:rsid w:val="00AE244B"/>
    <w:rPr>
      <w:rFonts w:ascii="Arial" w:eastAsia="MS Mincho" w:hAnsi="Arial"/>
      <w:szCs w:val="24"/>
      <w:lang w:val="en-GB" w:eastAsia="en-GB"/>
    </w:rPr>
  </w:style>
  <w:style w:type="character" w:customStyle="1" w:styleId="TALCar">
    <w:name w:val="TAL Car"/>
    <w:qFormat/>
    <w:rsid w:val="00AE244B"/>
    <w:rPr>
      <w:rFonts w:ascii="Arial" w:eastAsia="Times New Roman" w:hAnsi="Arial"/>
      <w:sz w:val="18"/>
      <w:lang w:val="en-GB"/>
    </w:rPr>
  </w:style>
  <w:style w:type="character" w:customStyle="1" w:styleId="CommentsChar">
    <w:name w:val="Comments Char"/>
    <w:qFormat/>
    <w:rsid w:val="00AE244B"/>
    <w:rPr>
      <w:rFonts w:ascii="Arial" w:eastAsia="MS Mincho" w:hAnsi="Arial"/>
      <w:i/>
      <w:sz w:val="18"/>
      <w:szCs w:val="24"/>
      <w:lang w:val="en-GB" w:eastAsia="en-GB" w:bidi="ar-SA"/>
    </w:rPr>
  </w:style>
  <w:style w:type="paragraph" w:customStyle="1" w:styleId="ZB">
    <w:name w:val="ZB"/>
    <w:qFormat/>
    <w:rsid w:val="00AE244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val="en-US" w:eastAsia="en-US"/>
    </w:rPr>
  </w:style>
  <w:style w:type="paragraph" w:customStyle="1" w:styleId="a3">
    <w:name w:val="其他发布部门"/>
    <w:basedOn w:val="a4"/>
    <w:qFormat/>
    <w:rsid w:val="00AE244B"/>
    <w:pPr>
      <w:spacing w:line="0" w:lineRule="atLeast"/>
    </w:pPr>
    <w:rPr>
      <w:rFonts w:ascii="SimHei" w:eastAsia="SimHei"/>
      <w:b w:val="0"/>
    </w:rPr>
  </w:style>
  <w:style w:type="paragraph" w:customStyle="1" w:styleId="a4">
    <w:name w:val="发布部门"/>
    <w:next w:val="a"/>
    <w:qFormat/>
    <w:rsid w:val="00AE244B"/>
    <w:pPr>
      <w:spacing w:after="160" w:line="259" w:lineRule="auto"/>
      <w:jc w:val="center"/>
    </w:pPr>
    <w:rPr>
      <w:rFonts w:ascii="SimSun" w:eastAsiaTheme="minorEastAsia"/>
      <w:b/>
      <w:spacing w:val="20"/>
      <w:w w:val="135"/>
      <w:sz w:val="28"/>
      <w:lang w:val="en-US" w:eastAsia="zh-CN"/>
    </w:rPr>
  </w:style>
  <w:style w:type="paragraph" w:customStyle="1" w:styleId="a5">
    <w:name w:val="示例"/>
    <w:next w:val="a6"/>
    <w:qFormat/>
    <w:rsid w:val="00AE244B"/>
    <w:pPr>
      <w:widowControl w:val="0"/>
      <w:spacing w:after="160" w:line="259" w:lineRule="auto"/>
      <w:ind w:left="360" w:hanging="360"/>
      <w:jc w:val="both"/>
    </w:pPr>
    <w:rPr>
      <w:rFonts w:ascii="SimSun" w:eastAsiaTheme="minorEastAsia"/>
      <w:sz w:val="18"/>
      <w:szCs w:val="18"/>
      <w:lang w:val="en-US" w:eastAsia="zh-CN"/>
    </w:rPr>
  </w:style>
  <w:style w:type="paragraph" w:customStyle="1" w:styleId="a6">
    <w:name w:val="示例内容"/>
    <w:qFormat/>
    <w:rsid w:val="00AE244B"/>
    <w:pPr>
      <w:spacing w:after="160" w:line="259" w:lineRule="auto"/>
      <w:ind w:firstLineChars="200" w:firstLine="200"/>
    </w:pPr>
    <w:rPr>
      <w:rFonts w:ascii="SimSun" w:eastAsiaTheme="minorEastAsia"/>
      <w:sz w:val="18"/>
      <w:szCs w:val="18"/>
      <w:lang w:val="en-US" w:eastAsia="zh-CN"/>
    </w:rPr>
  </w:style>
  <w:style w:type="paragraph" w:customStyle="1" w:styleId="a7">
    <w:name w:val="附录数字编号列项（二级）"/>
    <w:qFormat/>
    <w:rsid w:val="00AE244B"/>
    <w:pPr>
      <w:tabs>
        <w:tab w:val="left" w:pos="363"/>
        <w:tab w:val="left" w:pos="840"/>
      </w:tabs>
      <w:spacing w:after="160" w:line="259" w:lineRule="auto"/>
      <w:ind w:firstLine="363"/>
    </w:pPr>
    <w:rPr>
      <w:rFonts w:ascii="SimSun" w:eastAsiaTheme="minorEastAsia"/>
      <w:sz w:val="21"/>
      <w:lang w:val="en-US" w:eastAsia="zh-CN"/>
    </w:rPr>
  </w:style>
  <w:style w:type="paragraph" w:customStyle="1" w:styleId="a8">
    <w:name w:val="标准书眉_奇数页"/>
    <w:next w:val="Normal"/>
    <w:qFormat/>
    <w:rsid w:val="00AE244B"/>
    <w:pPr>
      <w:tabs>
        <w:tab w:val="center" w:pos="4154"/>
        <w:tab w:val="right" w:pos="8306"/>
      </w:tabs>
      <w:spacing w:after="220" w:line="259" w:lineRule="auto"/>
      <w:jc w:val="right"/>
    </w:pPr>
    <w:rPr>
      <w:rFonts w:ascii="SimHei" w:eastAsia="SimHei"/>
      <w:sz w:val="21"/>
      <w:szCs w:val="21"/>
      <w:lang w:val="en-US" w:eastAsia="zh-CN"/>
    </w:rPr>
  </w:style>
  <w:style w:type="paragraph" w:customStyle="1" w:styleId="a9">
    <w:name w:val="列项◆（三级）"/>
    <w:basedOn w:val="Normal"/>
    <w:qFormat/>
    <w:rsid w:val="00AE244B"/>
    <w:pPr>
      <w:tabs>
        <w:tab w:val="left" w:pos="1260"/>
        <w:tab w:val="left" w:pos="1678"/>
      </w:tabs>
      <w:ind w:left="1259" w:hanging="419"/>
    </w:pPr>
    <w:rPr>
      <w:rFonts w:ascii="SimSun"/>
      <w:szCs w:val="21"/>
    </w:rPr>
  </w:style>
  <w:style w:type="paragraph" w:customStyle="1" w:styleId="ZU">
    <w:name w:val="ZU"/>
    <w:qFormat/>
    <w:rsid w:val="00AE244B"/>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aa">
    <w:name w:val="三级条标题"/>
    <w:basedOn w:val="ab"/>
    <w:next w:val="a"/>
    <w:qFormat/>
    <w:rsid w:val="00AE244B"/>
    <w:pPr>
      <w:outlineLvl w:val="4"/>
    </w:pPr>
  </w:style>
  <w:style w:type="paragraph" w:customStyle="1" w:styleId="ab">
    <w:name w:val="二级条标题"/>
    <w:basedOn w:val="ac"/>
    <w:next w:val="a"/>
    <w:qFormat/>
    <w:rsid w:val="00AE244B"/>
    <w:pPr>
      <w:spacing w:beforeLines="0" w:afterLines="0"/>
      <w:outlineLvl w:val="3"/>
    </w:pPr>
  </w:style>
  <w:style w:type="paragraph" w:customStyle="1" w:styleId="ac">
    <w:name w:val="一级条标题"/>
    <w:next w:val="a"/>
    <w:qFormat/>
    <w:rsid w:val="00AE244B"/>
    <w:pPr>
      <w:spacing w:beforeLines="50" w:afterLines="50" w:line="259" w:lineRule="auto"/>
      <w:outlineLvl w:val="2"/>
    </w:pPr>
    <w:rPr>
      <w:rFonts w:ascii="SimHei" w:eastAsia="SimHei"/>
      <w:sz w:val="21"/>
      <w:szCs w:val="21"/>
      <w:lang w:val="en-US" w:eastAsia="zh-CN"/>
    </w:rPr>
  </w:style>
  <w:style w:type="paragraph" w:customStyle="1" w:styleId="EX">
    <w:name w:val="EX"/>
    <w:basedOn w:val="Normal"/>
    <w:qFormat/>
    <w:rsid w:val="00AE244B"/>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AE244B"/>
    <w:pPr>
      <w:tabs>
        <w:tab w:val="left" w:pos="720"/>
      </w:tabs>
      <w:autoSpaceDN w:val="0"/>
      <w:spacing w:beforeLines="50" w:afterLines="50"/>
      <w:ind w:left="720" w:hanging="720"/>
      <w:outlineLvl w:val="2"/>
    </w:pPr>
  </w:style>
  <w:style w:type="paragraph" w:customStyle="1" w:styleId="ae">
    <w:name w:val="附录章标题"/>
    <w:next w:val="a"/>
    <w:qFormat/>
    <w:rsid w:val="00AE244B"/>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rsid w:val="00AE244B"/>
    <w:pPr>
      <w:outlineLvl w:val="5"/>
    </w:pPr>
  </w:style>
  <w:style w:type="character" w:customStyle="1" w:styleId="FootnoteTextChar">
    <w:name w:val="Footnote Text Char"/>
    <w:basedOn w:val="DefaultParagraphFont"/>
    <w:link w:val="FootnoteText"/>
    <w:qFormat/>
    <w:rsid w:val="00AE244B"/>
    <w:rPr>
      <w:rFonts w:ascii="SimSun"/>
      <w:kern w:val="2"/>
      <w:sz w:val="18"/>
      <w:szCs w:val="18"/>
    </w:rPr>
  </w:style>
  <w:style w:type="paragraph" w:customStyle="1" w:styleId="af0">
    <w:name w:val="章标题"/>
    <w:next w:val="a"/>
    <w:qFormat/>
    <w:rsid w:val="00AE244B"/>
    <w:pPr>
      <w:spacing w:beforeLines="100" w:afterLines="100" w:line="259" w:lineRule="auto"/>
      <w:jc w:val="both"/>
      <w:outlineLvl w:val="1"/>
    </w:pPr>
    <w:rPr>
      <w:rFonts w:ascii="SimHei" w:eastAsia="SimHei"/>
      <w:sz w:val="21"/>
      <w:lang w:val="en-US" w:eastAsia="zh-CN"/>
    </w:rPr>
  </w:style>
  <w:style w:type="paragraph" w:customStyle="1" w:styleId="af1">
    <w:name w:val="正文表标题"/>
    <w:next w:val="a"/>
    <w:qFormat/>
    <w:rsid w:val="00AE244B"/>
    <w:pPr>
      <w:tabs>
        <w:tab w:val="left" w:pos="0"/>
        <w:tab w:val="left" w:pos="360"/>
      </w:tabs>
      <w:spacing w:beforeLines="50" w:afterLines="50" w:line="259" w:lineRule="auto"/>
      <w:ind w:left="720" w:hanging="357"/>
      <w:jc w:val="center"/>
    </w:pPr>
    <w:rPr>
      <w:rFonts w:ascii="SimHei" w:eastAsia="SimHei"/>
      <w:sz w:val="21"/>
      <w:lang w:val="en-US" w:eastAsia="zh-CN"/>
    </w:rPr>
  </w:style>
  <w:style w:type="paragraph" w:customStyle="1" w:styleId="TT">
    <w:name w:val="TT"/>
    <w:basedOn w:val="Heading1"/>
    <w:next w:val="Normal"/>
    <w:qFormat/>
    <w:rsid w:val="00AE244B"/>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AE244B"/>
    <w:pPr>
      <w:widowControl w:val="0"/>
      <w:autoSpaceDE w:val="0"/>
      <w:autoSpaceDN w:val="0"/>
      <w:spacing w:after="160" w:line="259" w:lineRule="auto"/>
      <w:jc w:val="both"/>
    </w:pPr>
    <w:rPr>
      <w:rFonts w:ascii="SimSun" w:eastAsiaTheme="minorEastAsia"/>
      <w:sz w:val="18"/>
      <w:szCs w:val="18"/>
      <w:lang w:val="en-US" w:eastAsia="zh-CN"/>
    </w:rPr>
  </w:style>
  <w:style w:type="paragraph" w:customStyle="1" w:styleId="af3">
    <w:name w:val="附录五级条标题"/>
    <w:basedOn w:val="af4"/>
    <w:next w:val="a"/>
    <w:qFormat/>
    <w:rsid w:val="00AE244B"/>
    <w:pPr>
      <w:tabs>
        <w:tab w:val="left" w:pos="1296"/>
      </w:tabs>
      <w:ind w:left="1296" w:hanging="1296"/>
      <w:outlineLvl w:val="6"/>
    </w:pPr>
  </w:style>
  <w:style w:type="paragraph" w:customStyle="1" w:styleId="af4">
    <w:name w:val="附录四级条标题"/>
    <w:basedOn w:val="af5"/>
    <w:next w:val="a"/>
    <w:qFormat/>
    <w:rsid w:val="00AE244B"/>
    <w:pPr>
      <w:outlineLvl w:val="5"/>
    </w:pPr>
  </w:style>
  <w:style w:type="paragraph" w:customStyle="1" w:styleId="af5">
    <w:name w:val="附录三级条标题"/>
    <w:basedOn w:val="af6"/>
    <w:next w:val="a"/>
    <w:qFormat/>
    <w:rsid w:val="00AE244B"/>
    <w:pPr>
      <w:tabs>
        <w:tab w:val="left" w:pos="1008"/>
      </w:tabs>
      <w:ind w:left="1008" w:hanging="1008"/>
      <w:outlineLvl w:val="4"/>
    </w:pPr>
  </w:style>
  <w:style w:type="paragraph" w:customStyle="1" w:styleId="af6">
    <w:name w:val="附录二级条标题"/>
    <w:basedOn w:val="Normal"/>
    <w:next w:val="a"/>
    <w:qFormat/>
    <w:rsid w:val="00AE244B"/>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AE244B"/>
    <w:pPr>
      <w:widowControl w:val="0"/>
      <w:spacing w:after="160" w:line="259" w:lineRule="auto"/>
      <w:textAlignment w:val="center"/>
    </w:pPr>
    <w:rPr>
      <w:rFonts w:ascii="SimHei" w:eastAsia="SimHei"/>
      <w:sz w:val="21"/>
      <w:szCs w:val="21"/>
      <w:lang w:val="en-US" w:eastAsia="zh-CN"/>
    </w:rPr>
  </w:style>
  <w:style w:type="paragraph" w:customStyle="1" w:styleId="Review-comment">
    <w:name w:val="Review-comment"/>
    <w:basedOn w:val="Normal"/>
    <w:qFormat/>
    <w:rsid w:val="00AE244B"/>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AE244B"/>
    <w:pPr>
      <w:spacing w:beforeLines="0" w:afterLines="0"/>
    </w:pPr>
    <w:rPr>
      <w:rFonts w:ascii="SimSun" w:eastAsia="SimSun"/>
    </w:rPr>
  </w:style>
  <w:style w:type="character" w:customStyle="1" w:styleId="Char1">
    <w:name w:val="纯文本 Char1"/>
    <w:basedOn w:val="DefaultParagraphFont"/>
    <w:semiHidden/>
    <w:qFormat/>
    <w:rsid w:val="00AE244B"/>
    <w:rPr>
      <w:rFonts w:ascii="SimSun" w:hAnsi="Courier New" w:cs="Courier New"/>
      <w:kern w:val="2"/>
      <w:sz w:val="21"/>
      <w:szCs w:val="21"/>
    </w:rPr>
  </w:style>
  <w:style w:type="paragraph" w:customStyle="1" w:styleId="H6">
    <w:name w:val="H6"/>
    <w:basedOn w:val="Heading5"/>
    <w:next w:val="Normal"/>
    <w:qFormat/>
    <w:rsid w:val="00AE244B"/>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AE244B"/>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AE244B"/>
    <w:pPr>
      <w:jc w:val="right"/>
    </w:pPr>
  </w:style>
  <w:style w:type="paragraph" w:customStyle="1" w:styleId="afb">
    <w:name w:val="发布日期"/>
    <w:qFormat/>
    <w:rsid w:val="00AE244B"/>
    <w:pPr>
      <w:spacing w:after="160" w:line="259" w:lineRule="auto"/>
    </w:pPr>
    <w:rPr>
      <w:rFonts w:eastAsia="SimHei"/>
      <w:sz w:val="28"/>
      <w:lang w:val="en-US" w:eastAsia="zh-CN"/>
    </w:rPr>
  </w:style>
  <w:style w:type="paragraph" w:customStyle="1" w:styleId="ZG">
    <w:name w:val="ZG"/>
    <w:qFormat/>
    <w:rsid w:val="00AE244B"/>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LSApproved">
    <w:name w:val="LS Approved"/>
    <w:basedOn w:val="Normal"/>
    <w:next w:val="Doc-text2"/>
    <w:qFormat/>
    <w:rsid w:val="00AE244B"/>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AE244B"/>
  </w:style>
  <w:style w:type="paragraph" w:customStyle="1" w:styleId="afc">
    <w:name w:val="封面标准文稿类别"/>
    <w:basedOn w:val="afd"/>
    <w:qFormat/>
    <w:rsid w:val="00AE244B"/>
    <w:pPr>
      <w:spacing w:line="240" w:lineRule="auto"/>
    </w:pPr>
    <w:rPr>
      <w:sz w:val="24"/>
    </w:rPr>
  </w:style>
  <w:style w:type="paragraph" w:customStyle="1" w:styleId="afd">
    <w:name w:val="封面一致性程度标识"/>
    <w:basedOn w:val="afe"/>
    <w:qFormat/>
    <w:rsid w:val="00AE244B"/>
    <w:pPr>
      <w:spacing w:before="440"/>
    </w:pPr>
    <w:rPr>
      <w:rFonts w:ascii="SimSun" w:eastAsia="SimSun"/>
    </w:rPr>
  </w:style>
  <w:style w:type="paragraph" w:customStyle="1" w:styleId="afe">
    <w:name w:val="封面标准英文名称"/>
    <w:basedOn w:val="aff"/>
    <w:qFormat/>
    <w:rsid w:val="00AE244B"/>
    <w:pPr>
      <w:spacing w:before="370" w:line="400" w:lineRule="exact"/>
    </w:pPr>
    <w:rPr>
      <w:rFonts w:ascii="Times New Roman"/>
      <w:sz w:val="28"/>
      <w:szCs w:val="28"/>
    </w:rPr>
  </w:style>
  <w:style w:type="paragraph" w:customStyle="1" w:styleId="aff">
    <w:name w:val="封面标准名称"/>
    <w:qFormat/>
    <w:rsid w:val="00AE244B"/>
    <w:pPr>
      <w:widowControl w:val="0"/>
      <w:spacing w:after="160" w:line="680" w:lineRule="exact"/>
      <w:jc w:val="center"/>
      <w:textAlignment w:val="center"/>
    </w:pPr>
    <w:rPr>
      <w:rFonts w:ascii="SimHei" w:eastAsia="SimHei"/>
      <w:sz w:val="52"/>
      <w:lang w:val="en-US" w:eastAsia="zh-CN"/>
    </w:rPr>
  </w:style>
  <w:style w:type="paragraph" w:customStyle="1" w:styleId="aff0">
    <w:name w:val="五级条标题"/>
    <w:basedOn w:val="af"/>
    <w:next w:val="a"/>
    <w:qFormat/>
    <w:rsid w:val="00AE244B"/>
    <w:pPr>
      <w:outlineLvl w:val="6"/>
    </w:pPr>
  </w:style>
  <w:style w:type="paragraph" w:customStyle="1" w:styleId="aff1">
    <w:name w:val="封面标准代替信息"/>
    <w:qFormat/>
    <w:rsid w:val="00AE244B"/>
    <w:pPr>
      <w:spacing w:before="57" w:after="160"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sid w:val="00AE244B"/>
    <w:rPr>
      <w:kern w:val="2"/>
      <w:sz w:val="21"/>
      <w:szCs w:val="24"/>
    </w:rPr>
  </w:style>
  <w:style w:type="character" w:customStyle="1" w:styleId="Char10">
    <w:name w:val="批注主题 Char1"/>
    <w:basedOn w:val="CommentTextChar"/>
    <w:semiHidden/>
    <w:qFormat/>
    <w:rsid w:val="00AE244B"/>
    <w:rPr>
      <w:b/>
      <w:bCs/>
      <w:kern w:val="2"/>
      <w:sz w:val="21"/>
      <w:szCs w:val="24"/>
    </w:rPr>
  </w:style>
  <w:style w:type="paragraph" w:customStyle="1" w:styleId="20">
    <w:name w:val="封面标准英文名称2"/>
    <w:basedOn w:val="afe"/>
    <w:qFormat/>
    <w:rsid w:val="00AE244B"/>
  </w:style>
  <w:style w:type="paragraph" w:customStyle="1" w:styleId="21">
    <w:name w:val="封面标准号2"/>
    <w:qFormat/>
    <w:rsid w:val="00AE244B"/>
    <w:pPr>
      <w:spacing w:before="357" w:after="160" w:line="280" w:lineRule="exact"/>
      <w:jc w:val="right"/>
    </w:pPr>
    <w:rPr>
      <w:rFonts w:ascii="SimHei" w:eastAsia="SimHei"/>
      <w:sz w:val="28"/>
      <w:szCs w:val="28"/>
      <w:lang w:val="en-US" w:eastAsia="zh-CN"/>
    </w:rPr>
  </w:style>
  <w:style w:type="paragraph" w:customStyle="1" w:styleId="22">
    <w:name w:val="封面一致性程度标识2"/>
    <w:basedOn w:val="afd"/>
    <w:qFormat/>
    <w:rsid w:val="00AE244B"/>
  </w:style>
  <w:style w:type="paragraph" w:customStyle="1" w:styleId="aff2">
    <w:name w:val="注×："/>
    <w:qFormat/>
    <w:rsid w:val="00AE244B"/>
    <w:pPr>
      <w:widowControl w:val="0"/>
      <w:autoSpaceDE w:val="0"/>
      <w:autoSpaceDN w:val="0"/>
      <w:spacing w:after="160" w:line="259" w:lineRule="auto"/>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sid w:val="00AE244B"/>
    <w:rPr>
      <w:kern w:val="2"/>
      <w:sz w:val="21"/>
      <w:szCs w:val="24"/>
    </w:rPr>
  </w:style>
  <w:style w:type="paragraph" w:customStyle="1" w:styleId="ZH">
    <w:name w:val="ZH"/>
    <w:qFormat/>
    <w:rsid w:val="00AE244B"/>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val="en-US" w:eastAsia="en-US"/>
    </w:rPr>
  </w:style>
  <w:style w:type="paragraph" w:customStyle="1" w:styleId="aff3">
    <w:name w:val="三级无"/>
    <w:basedOn w:val="aa"/>
    <w:qFormat/>
    <w:rsid w:val="00AE244B"/>
    <w:rPr>
      <w:rFonts w:ascii="SimSun" w:eastAsia="SimSun"/>
    </w:rPr>
  </w:style>
  <w:style w:type="paragraph" w:customStyle="1" w:styleId="aff4">
    <w:name w:val="条文脚注"/>
    <w:basedOn w:val="FootnoteText"/>
    <w:qFormat/>
    <w:rsid w:val="00AE244B"/>
    <w:pPr>
      <w:jc w:val="both"/>
    </w:pPr>
  </w:style>
  <w:style w:type="paragraph" w:customStyle="1" w:styleId="aff5">
    <w:name w:val="其他标准标志"/>
    <w:basedOn w:val="aff6"/>
    <w:qFormat/>
    <w:rsid w:val="00AE244B"/>
    <w:rPr>
      <w:w w:val="130"/>
    </w:rPr>
  </w:style>
  <w:style w:type="paragraph" w:customStyle="1" w:styleId="aff6">
    <w:name w:val="标准标志"/>
    <w:next w:val="Normal"/>
    <w:qFormat/>
    <w:rsid w:val="00AE244B"/>
    <w:pPr>
      <w:shd w:val="solid" w:color="FFFFFF" w:fill="FFFFFF"/>
      <w:spacing w:after="160"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rsid w:val="00AE244B"/>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AE244B"/>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val="en-US" w:eastAsia="en-US"/>
    </w:rPr>
  </w:style>
  <w:style w:type="paragraph" w:customStyle="1" w:styleId="aff7">
    <w:name w:val="标准书眉一"/>
    <w:qFormat/>
    <w:rsid w:val="00AE244B"/>
    <w:pPr>
      <w:spacing w:after="160" w:line="259" w:lineRule="auto"/>
      <w:jc w:val="both"/>
    </w:pPr>
    <w:rPr>
      <w:rFonts w:eastAsiaTheme="minorEastAsia"/>
      <w:lang w:val="en-US" w:eastAsia="zh-CN"/>
    </w:rPr>
  </w:style>
  <w:style w:type="paragraph" w:customStyle="1" w:styleId="aff8">
    <w:name w:val="附录五级无"/>
    <w:basedOn w:val="af3"/>
    <w:qFormat/>
    <w:rsid w:val="00AE244B"/>
    <w:pPr>
      <w:tabs>
        <w:tab w:val="clear" w:pos="360"/>
      </w:tabs>
      <w:spacing w:beforeLines="0" w:afterLines="0"/>
    </w:pPr>
    <w:rPr>
      <w:rFonts w:ascii="SimSun" w:eastAsia="SimSun"/>
      <w:szCs w:val="21"/>
    </w:rPr>
  </w:style>
  <w:style w:type="paragraph" w:customStyle="1" w:styleId="aff9">
    <w:name w:val="图的脚注"/>
    <w:next w:val="a"/>
    <w:qFormat/>
    <w:rsid w:val="00AE244B"/>
    <w:pPr>
      <w:widowControl w:val="0"/>
      <w:spacing w:after="160" w:line="259" w:lineRule="auto"/>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sid w:val="00AE244B"/>
    <w:rPr>
      <w:kern w:val="2"/>
      <w:sz w:val="21"/>
      <w:szCs w:val="24"/>
    </w:rPr>
  </w:style>
  <w:style w:type="paragraph" w:customStyle="1" w:styleId="LD">
    <w:name w:val="LD"/>
    <w:qFormat/>
    <w:rsid w:val="00AE244B"/>
    <w:pPr>
      <w:keepNext/>
      <w:keepLines/>
      <w:overflowPunct w:val="0"/>
      <w:autoSpaceDE w:val="0"/>
      <w:autoSpaceDN w:val="0"/>
      <w:adjustRightInd w:val="0"/>
      <w:spacing w:after="160" w:line="180" w:lineRule="exact"/>
      <w:textAlignment w:val="baseline"/>
    </w:pPr>
    <w:rPr>
      <w:rFonts w:ascii="Courier New" w:eastAsia="MS Mincho" w:hAnsi="Courier New"/>
      <w:lang w:val="en-US" w:eastAsia="en-US"/>
    </w:rPr>
  </w:style>
  <w:style w:type="paragraph" w:customStyle="1" w:styleId="affa">
    <w:name w:val="编号列项（三级）"/>
    <w:qFormat/>
    <w:rsid w:val="00AE244B"/>
    <w:pPr>
      <w:spacing w:after="160" w:line="259" w:lineRule="auto"/>
    </w:pPr>
    <w:rPr>
      <w:rFonts w:ascii="SimSun" w:eastAsiaTheme="minorEastAsia"/>
      <w:sz w:val="21"/>
      <w:lang w:val="en-US" w:eastAsia="zh-CN"/>
    </w:rPr>
  </w:style>
  <w:style w:type="paragraph" w:customStyle="1" w:styleId="affb">
    <w:name w:val="附录公式编号制表符"/>
    <w:basedOn w:val="Normal"/>
    <w:next w:val="a"/>
    <w:qFormat/>
    <w:rsid w:val="00AE244B"/>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AE244B"/>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rsid w:val="00AE244B"/>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AE244B"/>
    <w:pPr>
      <w:spacing w:after="160" w:line="0" w:lineRule="atLeast"/>
      <w:jc w:val="distribute"/>
    </w:pPr>
    <w:rPr>
      <w:rFonts w:ascii="SimHei" w:eastAsia="SimHei" w:hAnsi="SimSun"/>
      <w:spacing w:val="-40"/>
      <w:sz w:val="48"/>
      <w:szCs w:val="52"/>
      <w:lang w:val="en-US" w:eastAsia="zh-CN"/>
    </w:rPr>
  </w:style>
  <w:style w:type="paragraph" w:customStyle="1" w:styleId="TAH">
    <w:name w:val="TAH"/>
    <w:basedOn w:val="TAC"/>
    <w:qFormat/>
    <w:rsid w:val="00AE244B"/>
    <w:rPr>
      <w:b/>
      <w:bCs/>
      <w:szCs w:val="18"/>
    </w:rPr>
  </w:style>
  <w:style w:type="paragraph" w:customStyle="1" w:styleId="TAC">
    <w:name w:val="TAC"/>
    <w:basedOn w:val="TAL"/>
    <w:qFormat/>
    <w:rsid w:val="00AE244B"/>
    <w:pPr>
      <w:jc w:val="center"/>
    </w:pPr>
    <w:rPr>
      <w:szCs w:val="20"/>
      <w:lang w:eastAsia="en-US"/>
    </w:rPr>
  </w:style>
  <w:style w:type="paragraph" w:customStyle="1" w:styleId="affe">
    <w:name w:val="示例后文字"/>
    <w:basedOn w:val="a"/>
    <w:next w:val="a"/>
    <w:qFormat/>
    <w:rsid w:val="00AE244B"/>
    <w:pPr>
      <w:ind w:firstLine="360"/>
    </w:pPr>
    <w:rPr>
      <w:sz w:val="18"/>
    </w:rPr>
  </w:style>
  <w:style w:type="paragraph" w:customStyle="1" w:styleId="afff">
    <w:name w:val="图标脚注说明"/>
    <w:basedOn w:val="a"/>
    <w:qFormat/>
    <w:rsid w:val="00AE244B"/>
    <w:pPr>
      <w:ind w:left="840" w:firstLineChars="0" w:hanging="420"/>
    </w:pPr>
    <w:rPr>
      <w:sz w:val="18"/>
      <w:szCs w:val="18"/>
    </w:rPr>
  </w:style>
  <w:style w:type="paragraph" w:customStyle="1" w:styleId="FP">
    <w:name w:val="FP"/>
    <w:basedOn w:val="Normal"/>
    <w:qFormat/>
    <w:rsid w:val="00AE244B"/>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AE244B"/>
    <w:pPr>
      <w:tabs>
        <w:tab w:val="left" w:pos="360"/>
      </w:tabs>
      <w:ind w:left="360" w:hanging="360"/>
    </w:pPr>
    <w:rPr>
      <w:rFonts w:ascii="SimSun"/>
      <w:sz w:val="18"/>
      <w:szCs w:val="18"/>
    </w:rPr>
  </w:style>
  <w:style w:type="paragraph" w:customStyle="1" w:styleId="Proposal">
    <w:name w:val="Proposal"/>
    <w:basedOn w:val="Normal"/>
    <w:qFormat/>
    <w:rsid w:val="00AE244B"/>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AE244B"/>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AE244B"/>
    <w:pPr>
      <w:tabs>
        <w:tab w:val="left" w:pos="1304"/>
      </w:tabs>
      <w:spacing w:beforeLines="50" w:afterLines="50" w:line="259" w:lineRule="auto"/>
      <w:ind w:left="1304" w:hanging="1304"/>
      <w:jc w:val="center"/>
    </w:pPr>
    <w:rPr>
      <w:rFonts w:ascii="SimHei" w:eastAsia="SimHei"/>
      <w:sz w:val="21"/>
      <w:lang w:val="en-US" w:eastAsia="zh-CN"/>
    </w:rPr>
  </w:style>
  <w:style w:type="paragraph" w:customStyle="1" w:styleId="CharChar1CharChar">
    <w:name w:val="Char Char1 Char Char"/>
    <w:semiHidden/>
    <w:qFormat/>
    <w:rsid w:val="00AE244B"/>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AE244B"/>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AE244B"/>
  </w:style>
  <w:style w:type="paragraph" w:customStyle="1" w:styleId="afff4">
    <w:name w:val="附录标识"/>
    <w:basedOn w:val="Normal"/>
    <w:next w:val="a"/>
    <w:qFormat/>
    <w:rsid w:val="00AE244B"/>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AE244B"/>
    <w:rPr>
      <w:rFonts w:ascii="SimSun" w:eastAsia="SimSun"/>
    </w:rPr>
  </w:style>
  <w:style w:type="paragraph" w:customStyle="1" w:styleId="afff6">
    <w:name w:val="示例×："/>
    <w:basedOn w:val="af0"/>
    <w:qFormat/>
    <w:rsid w:val="00AE244B"/>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AE244B"/>
  </w:style>
  <w:style w:type="paragraph" w:customStyle="1" w:styleId="B5">
    <w:name w:val="B5"/>
    <w:basedOn w:val="List5"/>
    <w:qFormat/>
    <w:rsid w:val="00AE244B"/>
  </w:style>
  <w:style w:type="paragraph" w:customStyle="1" w:styleId="afff7">
    <w:name w:val="其他发布日期"/>
    <w:basedOn w:val="afb"/>
    <w:qFormat/>
    <w:rsid w:val="00AE244B"/>
  </w:style>
  <w:style w:type="paragraph" w:customStyle="1" w:styleId="B4">
    <w:name w:val="B4"/>
    <w:basedOn w:val="List4"/>
    <w:link w:val="B4Char"/>
    <w:qFormat/>
    <w:rsid w:val="00AE244B"/>
  </w:style>
  <w:style w:type="paragraph" w:customStyle="1" w:styleId="NO">
    <w:name w:val="NO"/>
    <w:basedOn w:val="Normal"/>
    <w:link w:val="NOZchn"/>
    <w:qFormat/>
    <w:rsid w:val="00AE244B"/>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AE244B"/>
    <w:rPr>
      <w:color w:val="0070C0"/>
    </w:rPr>
  </w:style>
  <w:style w:type="paragraph" w:customStyle="1" w:styleId="afff8">
    <w:name w:val="注×：（正文）"/>
    <w:qFormat/>
    <w:rsid w:val="00AE244B"/>
    <w:pPr>
      <w:spacing w:after="160" w:line="259" w:lineRule="auto"/>
      <w:ind w:firstLine="363"/>
      <w:jc w:val="both"/>
    </w:pPr>
    <w:rPr>
      <w:rFonts w:ascii="SimSun" w:eastAsiaTheme="minorEastAsia"/>
      <w:sz w:val="18"/>
      <w:szCs w:val="18"/>
      <w:lang w:val="en-US" w:eastAsia="zh-CN"/>
    </w:rPr>
  </w:style>
  <w:style w:type="paragraph" w:customStyle="1" w:styleId="afff9">
    <w:name w:val="附录表标号"/>
    <w:basedOn w:val="Normal"/>
    <w:next w:val="a"/>
    <w:qFormat/>
    <w:rsid w:val="00AE244B"/>
    <w:pPr>
      <w:spacing w:line="14" w:lineRule="exact"/>
      <w:ind w:left="811" w:hanging="448"/>
      <w:jc w:val="center"/>
      <w:outlineLvl w:val="0"/>
    </w:pPr>
    <w:rPr>
      <w:color w:val="FFFFFF"/>
    </w:rPr>
  </w:style>
  <w:style w:type="paragraph" w:customStyle="1" w:styleId="afffa">
    <w:name w:val="附录图标题"/>
    <w:basedOn w:val="Normal"/>
    <w:next w:val="a"/>
    <w:qFormat/>
    <w:rsid w:val="00AE244B"/>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AE244B"/>
    <w:pPr>
      <w:ind w:firstLineChars="0" w:firstLine="0"/>
      <w:jc w:val="center"/>
    </w:pPr>
    <w:rPr>
      <w:rFonts w:ascii="SimHei" w:eastAsia="SimHei"/>
    </w:rPr>
  </w:style>
  <w:style w:type="paragraph" w:customStyle="1" w:styleId="afffc">
    <w:name w:val="数字编号列项（二级）"/>
    <w:qFormat/>
    <w:rsid w:val="00AE244B"/>
    <w:pPr>
      <w:tabs>
        <w:tab w:val="left" w:pos="1260"/>
      </w:tabs>
      <w:spacing w:after="160" w:line="259" w:lineRule="auto"/>
      <w:ind w:left="1190" w:hanging="567"/>
      <w:jc w:val="both"/>
    </w:pPr>
    <w:rPr>
      <w:rFonts w:ascii="SimSun" w:eastAsiaTheme="minorEastAsia"/>
      <w:sz w:val="21"/>
      <w:lang w:val="en-US" w:eastAsia="zh-CN"/>
    </w:rPr>
  </w:style>
  <w:style w:type="paragraph" w:customStyle="1" w:styleId="afffd">
    <w:name w:val="标准书眉_偶数页"/>
    <w:basedOn w:val="a8"/>
    <w:next w:val="Normal"/>
    <w:qFormat/>
    <w:rsid w:val="00AE244B"/>
    <w:pPr>
      <w:jc w:val="left"/>
    </w:pPr>
  </w:style>
  <w:style w:type="paragraph" w:customStyle="1" w:styleId="afffe">
    <w:name w:val="附录三级无"/>
    <w:basedOn w:val="af5"/>
    <w:qFormat/>
    <w:rsid w:val="00AE244B"/>
    <w:pPr>
      <w:tabs>
        <w:tab w:val="clear" w:pos="360"/>
      </w:tabs>
      <w:spacing w:beforeLines="0" w:afterLines="0"/>
    </w:pPr>
    <w:rPr>
      <w:rFonts w:ascii="SimSun" w:eastAsia="SimSun"/>
      <w:szCs w:val="21"/>
    </w:rPr>
  </w:style>
  <w:style w:type="paragraph" w:customStyle="1" w:styleId="TAR">
    <w:name w:val="TAR"/>
    <w:basedOn w:val="TAL"/>
    <w:qFormat/>
    <w:rsid w:val="00AE244B"/>
    <w:pPr>
      <w:jc w:val="right"/>
    </w:pPr>
    <w:rPr>
      <w:szCs w:val="20"/>
      <w:lang w:eastAsia="en-US"/>
    </w:rPr>
  </w:style>
  <w:style w:type="paragraph" w:customStyle="1" w:styleId="ZV">
    <w:name w:val="ZV"/>
    <w:basedOn w:val="ZU"/>
    <w:qFormat/>
    <w:rsid w:val="00AE244B"/>
    <w:pPr>
      <w:framePr w:wrap="notBeside" w:y="16161"/>
    </w:pPr>
  </w:style>
  <w:style w:type="paragraph" w:customStyle="1" w:styleId="affff">
    <w:name w:val="字母编号列项（一级）"/>
    <w:qFormat/>
    <w:rsid w:val="00AE244B"/>
    <w:pPr>
      <w:tabs>
        <w:tab w:val="left" w:pos="840"/>
      </w:tabs>
      <w:spacing w:after="160" w:line="259" w:lineRule="auto"/>
      <w:ind w:left="623" w:hanging="425"/>
      <w:jc w:val="both"/>
    </w:pPr>
    <w:rPr>
      <w:rFonts w:ascii="SimSun" w:eastAsiaTheme="minorEastAsia"/>
      <w:sz w:val="21"/>
      <w:lang w:val="en-US" w:eastAsia="zh-CN"/>
    </w:rPr>
  </w:style>
  <w:style w:type="paragraph" w:customStyle="1" w:styleId="affff0">
    <w:name w:val="附录字母编号列项（一级）"/>
    <w:qFormat/>
    <w:rsid w:val="00AE244B"/>
    <w:pPr>
      <w:tabs>
        <w:tab w:val="left" w:pos="839"/>
      </w:tabs>
      <w:spacing w:after="160" w:line="259" w:lineRule="auto"/>
      <w:ind w:firstLine="363"/>
    </w:pPr>
    <w:rPr>
      <w:rFonts w:ascii="SimSun" w:eastAsiaTheme="minorEastAsia"/>
      <w:sz w:val="21"/>
      <w:lang w:val="en-US" w:eastAsia="zh-CN"/>
    </w:rPr>
  </w:style>
  <w:style w:type="paragraph" w:customStyle="1" w:styleId="NW">
    <w:name w:val="NW"/>
    <w:basedOn w:val="NO"/>
    <w:qFormat/>
    <w:rsid w:val="00AE244B"/>
    <w:pPr>
      <w:spacing w:after="0"/>
    </w:pPr>
    <w:rPr>
      <w:rFonts w:eastAsia="MS Mincho"/>
      <w:lang w:eastAsia="en-US"/>
    </w:rPr>
  </w:style>
  <w:style w:type="paragraph" w:customStyle="1" w:styleId="affff1">
    <w:name w:val="目次、索引正文"/>
    <w:qFormat/>
    <w:rsid w:val="00AE244B"/>
    <w:pPr>
      <w:spacing w:after="160" w:line="320" w:lineRule="exact"/>
      <w:jc w:val="both"/>
    </w:pPr>
    <w:rPr>
      <w:rFonts w:ascii="SimSun" w:eastAsiaTheme="minorEastAsia"/>
      <w:sz w:val="21"/>
      <w:lang w:val="en-US" w:eastAsia="zh-CN"/>
    </w:rPr>
  </w:style>
  <w:style w:type="paragraph" w:customStyle="1" w:styleId="affff2">
    <w:name w:val="标准称谓"/>
    <w:next w:val="Normal"/>
    <w:qFormat/>
    <w:rsid w:val="00AE244B"/>
    <w:pPr>
      <w:widowControl w:val="0"/>
      <w:kinsoku w:val="0"/>
      <w:overflowPunct w:val="0"/>
      <w:autoSpaceDE w:val="0"/>
      <w:autoSpaceDN w:val="0"/>
      <w:spacing w:after="160"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sid w:val="00AE244B"/>
    <w:rPr>
      <w:rFonts w:ascii="SimSun" w:eastAsia="SimSun"/>
    </w:rPr>
  </w:style>
  <w:style w:type="paragraph" w:customStyle="1" w:styleId="affff4">
    <w:name w:val="列项说明"/>
    <w:basedOn w:val="Normal"/>
    <w:qFormat/>
    <w:rsid w:val="00AE244B"/>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AE244B"/>
    <w:pPr>
      <w:tabs>
        <w:tab w:val="left" w:pos="840"/>
      </w:tabs>
      <w:ind w:left="839" w:hanging="419"/>
    </w:pPr>
  </w:style>
  <w:style w:type="paragraph" w:customStyle="1" w:styleId="MiniHeading">
    <w:name w:val="MiniHeading"/>
    <w:basedOn w:val="Comments"/>
    <w:qFormat/>
    <w:rsid w:val="00AE244B"/>
    <w:pPr>
      <w:spacing w:before="180"/>
    </w:pPr>
    <w:rPr>
      <w:u w:val="single"/>
      <w:lang w:val="en-US" w:eastAsia="zh-CN"/>
    </w:rPr>
  </w:style>
  <w:style w:type="paragraph" w:customStyle="1" w:styleId="EditorsNote">
    <w:name w:val="Editor's Note"/>
    <w:basedOn w:val="NO"/>
    <w:link w:val="EditorsNoteChar"/>
    <w:qFormat/>
    <w:rsid w:val="00AE244B"/>
    <w:rPr>
      <w:rFonts w:eastAsia="MS Mincho"/>
      <w:color w:val="FF0000"/>
      <w:lang w:eastAsia="en-US"/>
    </w:rPr>
  </w:style>
  <w:style w:type="paragraph" w:customStyle="1" w:styleId="affff6">
    <w:name w:val="终结线"/>
    <w:basedOn w:val="Normal"/>
    <w:qFormat/>
    <w:rsid w:val="00AE244B"/>
  </w:style>
  <w:style w:type="paragraph" w:customStyle="1" w:styleId="affff7">
    <w:name w:val="五级无"/>
    <w:basedOn w:val="aff0"/>
    <w:qFormat/>
    <w:rsid w:val="00AE244B"/>
    <w:rPr>
      <w:rFonts w:ascii="SimSun" w:eastAsia="SimSun"/>
    </w:rPr>
  </w:style>
  <w:style w:type="paragraph" w:customStyle="1" w:styleId="affff8">
    <w:name w:val="正文公式编号制表符"/>
    <w:basedOn w:val="a"/>
    <w:next w:val="a"/>
    <w:qFormat/>
    <w:rsid w:val="00AE244B"/>
    <w:pPr>
      <w:ind w:firstLineChars="0" w:firstLine="0"/>
    </w:pPr>
  </w:style>
  <w:style w:type="paragraph" w:customStyle="1" w:styleId="affff9">
    <w:name w:val="列项——（一级）"/>
    <w:qFormat/>
    <w:rsid w:val="00AE244B"/>
    <w:pPr>
      <w:widowControl w:val="0"/>
      <w:tabs>
        <w:tab w:val="left" w:pos="839"/>
      </w:tabs>
      <w:spacing w:after="160" w:line="259" w:lineRule="auto"/>
      <w:ind w:left="839" w:hanging="419"/>
      <w:jc w:val="both"/>
    </w:pPr>
    <w:rPr>
      <w:rFonts w:ascii="SimSun" w:eastAsiaTheme="minorEastAsia"/>
      <w:sz w:val="21"/>
      <w:lang w:val="en-US" w:eastAsia="zh-CN"/>
    </w:rPr>
  </w:style>
  <w:style w:type="paragraph" w:customStyle="1" w:styleId="23">
    <w:name w:val="封面标准文稿编辑信息2"/>
    <w:basedOn w:val="affffa"/>
    <w:qFormat/>
    <w:rsid w:val="00AE244B"/>
  </w:style>
  <w:style w:type="paragraph" w:customStyle="1" w:styleId="affffa">
    <w:name w:val="封面标准文稿编辑信息"/>
    <w:basedOn w:val="afc"/>
    <w:qFormat/>
    <w:rsid w:val="00AE244B"/>
    <w:pPr>
      <w:spacing w:before="180" w:line="180" w:lineRule="exact"/>
    </w:pPr>
    <w:rPr>
      <w:sz w:val="21"/>
    </w:rPr>
  </w:style>
  <w:style w:type="paragraph" w:customStyle="1" w:styleId="PL">
    <w:name w:val="PL"/>
    <w:qFormat/>
    <w:rsid w:val="00AE2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val="en-US" w:eastAsia="en-US"/>
    </w:rPr>
  </w:style>
  <w:style w:type="paragraph" w:customStyle="1" w:styleId="NF">
    <w:name w:val="NF"/>
    <w:basedOn w:val="NO"/>
    <w:qFormat/>
    <w:rsid w:val="00AE244B"/>
    <w:pPr>
      <w:keepNext/>
      <w:spacing w:after="0"/>
    </w:pPr>
    <w:rPr>
      <w:rFonts w:ascii="Arial" w:eastAsia="MS Mincho" w:hAnsi="Arial"/>
      <w:sz w:val="18"/>
      <w:lang w:eastAsia="en-US"/>
    </w:rPr>
  </w:style>
  <w:style w:type="paragraph" w:customStyle="1" w:styleId="Style1">
    <w:name w:val="Style1"/>
    <w:basedOn w:val="Heading4"/>
    <w:qFormat/>
    <w:rsid w:val="00AE244B"/>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AE244B"/>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val="en-US" w:eastAsia="en-US"/>
    </w:rPr>
  </w:style>
  <w:style w:type="paragraph" w:customStyle="1" w:styleId="affffb">
    <w:name w:val="列项●（二级）"/>
    <w:qFormat/>
    <w:rsid w:val="00AE244B"/>
    <w:pPr>
      <w:tabs>
        <w:tab w:val="left" w:pos="760"/>
        <w:tab w:val="left" w:pos="840"/>
      </w:tabs>
      <w:spacing w:after="160" w:line="259" w:lineRule="auto"/>
      <w:ind w:left="839" w:hanging="419"/>
      <w:jc w:val="both"/>
    </w:pPr>
    <w:rPr>
      <w:rFonts w:ascii="SimSun" w:eastAsiaTheme="minorEastAsia"/>
      <w:sz w:val="21"/>
      <w:lang w:val="en-US" w:eastAsia="zh-CN"/>
    </w:rPr>
  </w:style>
  <w:style w:type="paragraph" w:customStyle="1" w:styleId="24">
    <w:name w:val="封面标准名称2"/>
    <w:basedOn w:val="aff"/>
    <w:qFormat/>
    <w:rsid w:val="00AE244B"/>
    <w:pPr>
      <w:spacing w:beforeLines="630"/>
    </w:pPr>
  </w:style>
  <w:style w:type="paragraph" w:customStyle="1" w:styleId="affffc">
    <w:name w:val="前言、引言标题"/>
    <w:next w:val="a"/>
    <w:qFormat/>
    <w:rsid w:val="00AE244B"/>
    <w:pPr>
      <w:keepNext/>
      <w:pageBreakBefore/>
      <w:shd w:val="clear" w:color="FFFFFF" w:fill="FFFFFF"/>
      <w:spacing w:before="640" w:after="560" w:line="259" w:lineRule="auto"/>
      <w:jc w:val="center"/>
      <w:outlineLvl w:val="0"/>
    </w:pPr>
    <w:rPr>
      <w:rFonts w:ascii="SimHei" w:eastAsia="SimHei"/>
      <w:sz w:val="32"/>
      <w:lang w:val="en-US" w:eastAsia="zh-CN"/>
    </w:rPr>
  </w:style>
  <w:style w:type="paragraph" w:customStyle="1" w:styleId="EQ">
    <w:name w:val="EQ"/>
    <w:basedOn w:val="Normal"/>
    <w:next w:val="Normal"/>
    <w:qFormat/>
    <w:rsid w:val="00AE244B"/>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AE244B"/>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AE244B"/>
    <w:pPr>
      <w:spacing w:after="160" w:line="259" w:lineRule="auto"/>
    </w:pPr>
    <w:rPr>
      <w:rFonts w:ascii="Arial" w:eastAsia="MS Mincho" w:hAnsi="Arial"/>
      <w:szCs w:val="24"/>
      <w:lang w:val="en-GB" w:eastAsia="en-GB"/>
    </w:rPr>
  </w:style>
  <w:style w:type="paragraph" w:customStyle="1" w:styleId="ZTD">
    <w:name w:val="ZTD"/>
    <w:basedOn w:val="ZB"/>
    <w:qFormat/>
    <w:rsid w:val="00AE244B"/>
    <w:pPr>
      <w:framePr w:hRule="auto" w:wrap="notBeside" w:y="852"/>
    </w:pPr>
    <w:rPr>
      <w:i w:val="0"/>
      <w:sz w:val="40"/>
    </w:rPr>
  </w:style>
  <w:style w:type="paragraph" w:customStyle="1" w:styleId="affffd">
    <w:name w:val="附录表标题"/>
    <w:basedOn w:val="Normal"/>
    <w:next w:val="a"/>
    <w:qFormat/>
    <w:rsid w:val="00AE244B"/>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AE244B"/>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AE244B"/>
    <w:pPr>
      <w:spacing w:before="120" w:after="160" w:line="259" w:lineRule="auto"/>
      <w:ind w:right="198"/>
      <w:jc w:val="right"/>
    </w:pPr>
    <w:rPr>
      <w:rFonts w:ascii="SimSun" w:eastAsiaTheme="minorEastAsia"/>
      <w:sz w:val="18"/>
      <w:szCs w:val="18"/>
      <w:lang w:val="en-US" w:eastAsia="zh-CN"/>
    </w:rPr>
  </w:style>
  <w:style w:type="paragraph" w:customStyle="1" w:styleId="afffff0">
    <w:name w:val="附录二级无"/>
    <w:basedOn w:val="af6"/>
    <w:qFormat/>
    <w:rsid w:val="00AE244B"/>
    <w:pPr>
      <w:tabs>
        <w:tab w:val="clear" w:pos="360"/>
      </w:tabs>
      <w:spacing w:beforeLines="0" w:afterLines="0"/>
    </w:pPr>
    <w:rPr>
      <w:rFonts w:ascii="SimSun" w:eastAsia="SimSun"/>
      <w:szCs w:val="21"/>
    </w:rPr>
  </w:style>
  <w:style w:type="paragraph" w:customStyle="1" w:styleId="afffff1">
    <w:name w:val="附录一级无"/>
    <w:basedOn w:val="ad"/>
    <w:qFormat/>
    <w:rsid w:val="00AE244B"/>
    <w:pPr>
      <w:tabs>
        <w:tab w:val="clear" w:pos="360"/>
      </w:tabs>
      <w:spacing w:beforeLines="0" w:afterLines="0"/>
    </w:pPr>
    <w:rPr>
      <w:rFonts w:ascii="SimSun" w:eastAsia="SimSun"/>
      <w:szCs w:val="21"/>
    </w:rPr>
  </w:style>
  <w:style w:type="paragraph" w:customStyle="1" w:styleId="afffff2">
    <w:name w:val="列项说明数字编号"/>
    <w:qFormat/>
    <w:rsid w:val="00AE244B"/>
    <w:pPr>
      <w:spacing w:after="160" w:line="259" w:lineRule="auto"/>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rsid w:val="00AE244B"/>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AE244B"/>
    <w:pPr>
      <w:ind w:left="851" w:hanging="851"/>
    </w:pPr>
    <w:rPr>
      <w:szCs w:val="20"/>
      <w:lang w:eastAsia="en-US"/>
    </w:rPr>
  </w:style>
  <w:style w:type="paragraph" w:customStyle="1" w:styleId="afffff4">
    <w:name w:val="封面正文"/>
    <w:qFormat/>
    <w:rsid w:val="00AE244B"/>
    <w:pPr>
      <w:spacing w:after="160" w:line="259" w:lineRule="auto"/>
      <w:jc w:val="both"/>
    </w:pPr>
    <w:rPr>
      <w:rFonts w:eastAsiaTheme="minorEastAsia"/>
      <w:lang w:val="en-US" w:eastAsia="zh-CN"/>
    </w:rPr>
  </w:style>
  <w:style w:type="paragraph" w:customStyle="1" w:styleId="2Char">
    <w:name w:val="2 Char"/>
    <w:semiHidden/>
    <w:qFormat/>
    <w:rsid w:val="00AE244B"/>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AE244B"/>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AE244B"/>
    <w:pPr>
      <w:spacing w:before="120" w:after="160" w:line="259" w:lineRule="auto"/>
      <w:ind w:left="221"/>
    </w:pPr>
    <w:rPr>
      <w:rFonts w:ascii="SimSun" w:eastAsiaTheme="minorEastAsia"/>
      <w:sz w:val="18"/>
      <w:szCs w:val="18"/>
      <w:lang w:val="en-US" w:eastAsia="zh-CN"/>
    </w:rPr>
  </w:style>
  <w:style w:type="paragraph" w:customStyle="1" w:styleId="EW">
    <w:name w:val="EW"/>
    <w:basedOn w:val="EX"/>
    <w:qFormat/>
    <w:rsid w:val="00AE244B"/>
    <w:pPr>
      <w:spacing w:after="0"/>
    </w:pPr>
  </w:style>
  <w:style w:type="paragraph" w:customStyle="1" w:styleId="1">
    <w:name w:val="封面标准号1"/>
    <w:qFormat/>
    <w:rsid w:val="00AE244B"/>
    <w:pPr>
      <w:widowControl w:val="0"/>
      <w:kinsoku w:val="0"/>
      <w:overflowPunct w:val="0"/>
      <w:autoSpaceDE w:val="0"/>
      <w:autoSpaceDN w:val="0"/>
      <w:spacing w:before="308" w:after="160" w:line="259" w:lineRule="auto"/>
      <w:jc w:val="right"/>
      <w:textAlignment w:val="center"/>
    </w:pPr>
    <w:rPr>
      <w:rFonts w:eastAsiaTheme="minorEastAsia"/>
      <w:sz w:val="28"/>
      <w:lang w:val="en-US" w:eastAsia="zh-CN"/>
    </w:rPr>
  </w:style>
  <w:style w:type="character" w:customStyle="1" w:styleId="B1Char">
    <w:name w:val="B1 Char"/>
    <w:qFormat/>
    <w:rsid w:val="00AE244B"/>
    <w:rPr>
      <w:rFonts w:ascii="Arial" w:eastAsia="Times New Roman" w:hAnsi="Arial"/>
      <w:lang w:val="en-GB" w:eastAsia="en-US"/>
    </w:rPr>
  </w:style>
  <w:style w:type="paragraph" w:customStyle="1" w:styleId="Observation">
    <w:name w:val="Observation"/>
    <w:basedOn w:val="Proposal"/>
    <w:qFormat/>
    <w:rsid w:val="00AE244B"/>
    <w:pPr>
      <w:numPr>
        <w:numId w:val="2"/>
      </w:numPr>
      <w:ind w:left="1701" w:hanging="1701"/>
    </w:pPr>
    <w:rPr>
      <w:rFonts w:eastAsiaTheme="minorEastAsia"/>
    </w:rPr>
  </w:style>
  <w:style w:type="character" w:customStyle="1" w:styleId="ListParagraphChar">
    <w:name w:val="List Paragraph Char"/>
    <w:link w:val="ListParagraph1"/>
    <w:uiPriority w:val="34"/>
    <w:qFormat/>
    <w:locked/>
    <w:rsid w:val="00AE244B"/>
    <w:rPr>
      <w:kern w:val="2"/>
      <w:sz w:val="21"/>
      <w:szCs w:val="24"/>
    </w:rPr>
  </w:style>
  <w:style w:type="character" w:customStyle="1" w:styleId="B3Char">
    <w:name w:val="B3 Char"/>
    <w:basedOn w:val="DefaultParagraphFont"/>
    <w:qFormat/>
    <w:rsid w:val="00AE244B"/>
    <w:rPr>
      <w:lang w:val="en-GB"/>
    </w:rPr>
  </w:style>
  <w:style w:type="character" w:customStyle="1" w:styleId="B4Char">
    <w:name w:val="B4 Char"/>
    <w:link w:val="B4"/>
    <w:qFormat/>
    <w:rsid w:val="00AE244B"/>
    <w:rPr>
      <w:rFonts w:eastAsia="MS Mincho"/>
      <w:lang w:val="en-GB" w:eastAsia="en-US"/>
    </w:rPr>
  </w:style>
  <w:style w:type="paragraph" w:customStyle="1" w:styleId="Guidance">
    <w:name w:val="Guidance"/>
    <w:basedOn w:val="Normal"/>
    <w:link w:val="GuidanceChar"/>
    <w:qFormat/>
    <w:rsid w:val="00AE244B"/>
    <w:pPr>
      <w:widowControl/>
      <w:spacing w:after="180"/>
      <w:jc w:val="left"/>
    </w:pPr>
    <w:rPr>
      <w:i/>
      <w:color w:val="0000FF"/>
      <w:kern w:val="0"/>
      <w:sz w:val="20"/>
      <w:szCs w:val="20"/>
      <w:lang w:val="en-GB" w:eastAsia="en-US"/>
    </w:rPr>
  </w:style>
  <w:style w:type="character" w:customStyle="1" w:styleId="B1Zchn">
    <w:name w:val="B1 Zchn"/>
    <w:qFormat/>
    <w:rsid w:val="00AE244B"/>
    <w:rPr>
      <w:lang w:eastAsia="en-US"/>
    </w:rPr>
  </w:style>
  <w:style w:type="character" w:customStyle="1" w:styleId="NOZchn">
    <w:name w:val="NO Zchn"/>
    <w:link w:val="NO"/>
    <w:qFormat/>
    <w:rsid w:val="00AE244B"/>
    <w:rPr>
      <w:lang w:val="en-GB" w:eastAsia="ja-JP"/>
    </w:rPr>
  </w:style>
  <w:style w:type="character" w:customStyle="1" w:styleId="GuidanceChar">
    <w:name w:val="Guidance Char"/>
    <w:link w:val="Guidance"/>
    <w:qFormat/>
    <w:rsid w:val="00AE244B"/>
    <w:rPr>
      <w:i/>
      <w:color w:val="0000FF"/>
      <w:lang w:val="en-GB" w:eastAsia="en-US"/>
    </w:rPr>
  </w:style>
  <w:style w:type="character" w:customStyle="1" w:styleId="EditorsNoteChar">
    <w:name w:val="Editor's Note Char"/>
    <w:link w:val="EditorsNote"/>
    <w:qFormat/>
    <w:rsid w:val="00AE244B"/>
    <w:rPr>
      <w:rFonts w:eastAsia="MS Mincho"/>
      <w:color w:val="FF0000"/>
      <w:lang w:val="en-GB" w:eastAsia="en-US"/>
    </w:rPr>
  </w:style>
  <w:style w:type="paragraph" w:customStyle="1" w:styleId="10">
    <w:name w:val="列出段落1"/>
    <w:basedOn w:val="Normal"/>
    <w:uiPriority w:val="34"/>
    <w:qFormat/>
    <w:rsid w:val="00AE244B"/>
    <w:pPr>
      <w:spacing w:after="0"/>
      <w:ind w:firstLine="420"/>
    </w:pPr>
    <w:rPr>
      <w:rFonts w:ascii="Calibri" w:eastAsia="SimSun" w:hAnsi="Calibri" w:cs="SimSun"/>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3F5F42-EF97-48A0-9E78-2222FFD67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2160</Words>
  <Characters>12313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14445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12</cp:revision>
  <cp:lastPrinted>2113-01-01T00:00:00Z</cp:lastPrinted>
  <dcterms:created xsi:type="dcterms:W3CDTF">2019-05-02T21:46:00Z</dcterms:created>
  <dcterms:modified xsi:type="dcterms:W3CDTF">2019-05-02T22:45:00Z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